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396621A">
      <w:pPr>
        <w:spacing w:after="1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SHIPPING GUIDE / GUIA DE REMESSA</w:t>
      </w:r>
    </w:p>
    <w:p w14:paraId="3B3E24E9">
      <w:pPr>
        <w:spacing w:after="120"/>
        <w:jc w:val="center"/>
        <w:rPr>
          <w:b/>
          <w:sz w:val="22"/>
          <w:szCs w:val="22"/>
        </w:rPr>
      </w:pPr>
    </w:p>
    <w:p w14:paraId="5A1AD197">
      <w:pPr>
        <w:spacing w:after="1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Shipping Guide No. [ ] of Material Transfer Agreement – MTA No. [ ] signed between</w:t>
      </w:r>
    </w:p>
    <w:p w14:paraId="51E76A9E">
      <w:pPr>
        <w:spacing w:after="12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[SENDER] and [RECEIVER] in [TIME DATE] valid until [DATE]</w:t>
      </w:r>
    </w:p>
    <w:p w14:paraId="35F2044B">
      <w:pPr>
        <w:spacing w:after="120"/>
        <w:jc w:val="center"/>
        <w:rPr>
          <w:b/>
          <w:sz w:val="22"/>
          <w:szCs w:val="22"/>
        </w:rPr>
      </w:pPr>
    </w:p>
    <w:p w14:paraId="209B835F">
      <w:pPr>
        <w:spacing w:after="120"/>
        <w:jc w:val="center"/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Guia de Remessa n.º [ ] do Termo de Transferência de Material - TTM n.º [ ] firmado entre</w:t>
      </w:r>
    </w:p>
    <w:p w14:paraId="6AF7265B">
      <w:pPr>
        <w:spacing w:after="120"/>
        <w:jc w:val="center"/>
        <w:rPr>
          <w:b/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[REMETENTE] e [DESTINATÁRIO] em [DATA DO TTM] válido até [DATA]</w:t>
      </w:r>
    </w:p>
    <w:p w14:paraId="27500EA7">
      <w:pPr>
        <w:spacing w:after="120"/>
        <w:jc w:val="center"/>
        <w:rPr>
          <w:b/>
          <w:sz w:val="22"/>
          <w:szCs w:val="22"/>
          <w:lang w:val="pt-BR"/>
        </w:rPr>
      </w:pPr>
    </w:p>
    <w:tbl>
      <w:tblPr>
        <w:tblStyle w:val="27"/>
        <w:tblW w:w="9713" w:type="dxa"/>
        <w:tblInd w:w="10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863"/>
        <w:gridCol w:w="4850"/>
      </w:tblGrid>
      <w:tr w14:paraId="69150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2687632D">
            <w:pPr>
              <w:tabs>
                <w:tab w:val="left" w:pos="220"/>
                <w:tab w:val="left" w:pos="720"/>
              </w:tabs>
              <w:spacing w:after="120"/>
              <w:ind w:right="227"/>
            </w:pPr>
            <w:r>
              <w:rPr>
                <w:color w:val="000000"/>
              </w:rPr>
              <w:t>1. Identification of the genetic heritage samples at the strictest possible taxonomic level:</w:t>
            </w:r>
          </w:p>
        </w:tc>
        <w:tc>
          <w:tcPr>
            <w:tcW w:w="4850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32F48167">
            <w:pPr>
              <w:spacing w:after="120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 xml:space="preserve">1. Identificação das amostras de patrimônio genético no nível taxonômico mais estrito possível: </w:t>
            </w:r>
          </w:p>
        </w:tc>
      </w:tr>
      <w:tr w14:paraId="1C0BAD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single" w:color="000000" w:sz="4" w:space="0"/>
            </w:tcBorders>
          </w:tcPr>
          <w:p w14:paraId="4A87E23A">
            <w:pPr>
              <w:tabs>
                <w:tab w:val="left" w:pos="220"/>
                <w:tab w:val="left" w:pos="720"/>
              </w:tabs>
              <w:spacing w:after="120"/>
              <w:ind w:right="227"/>
              <w:rPr>
                <w:color w:val="000000"/>
              </w:rPr>
            </w:pPr>
          </w:p>
        </w:tc>
        <w:tc>
          <w:tcPr>
            <w:tcW w:w="4850" w:type="dxa"/>
            <w:tcBorders>
              <w:top w:val="single" w:color="000000" w:sz="4" w:space="0"/>
            </w:tcBorders>
          </w:tcPr>
          <w:p w14:paraId="59FEB8FD">
            <w:pPr>
              <w:spacing w:after="120"/>
              <w:rPr>
                <w:color w:val="000000"/>
                <w:lang w:val="pt-BR"/>
              </w:rPr>
            </w:pPr>
          </w:p>
        </w:tc>
      </w:tr>
      <w:tr w14:paraId="67942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left w:val="nil"/>
              <w:bottom w:val="nil"/>
              <w:right w:val="nil"/>
            </w:tcBorders>
          </w:tcPr>
          <w:p w14:paraId="0711E784">
            <w:pPr>
              <w:spacing w:after="120"/>
            </w:pPr>
            <w:r>
              <w:t xml:space="preserve">2. Origin of samples to be sent including georeferenced coordinates in degree, minute and second format of the place of </w:t>
            </w:r>
            <w:r>
              <w:rPr>
                <w:b/>
              </w:rPr>
              <w:t xml:space="preserve">in situ </w:t>
            </w:r>
            <w:r>
              <w:t xml:space="preserve">obtaining, even if obtained from </w:t>
            </w:r>
            <w:r>
              <w:rPr>
                <w:b/>
              </w:rPr>
              <w:t xml:space="preserve">ex situ </w:t>
            </w:r>
            <w:r>
              <w:t xml:space="preserve">sources:  </w:t>
            </w:r>
          </w:p>
        </w:tc>
        <w:tc>
          <w:tcPr>
            <w:tcW w:w="4850" w:type="dxa"/>
            <w:tcBorders>
              <w:left w:val="nil"/>
              <w:bottom w:val="nil"/>
              <w:right w:val="nil"/>
            </w:tcBorders>
          </w:tcPr>
          <w:p w14:paraId="54EB727E">
            <w:pPr>
              <w:spacing w:after="120"/>
              <w:rPr>
                <w:b/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 xml:space="preserve">2. Procedência das amostras a ser remetidas, informando o município do local de obtenção </w:t>
            </w:r>
            <w:r>
              <w:rPr>
                <w:b/>
                <w:color w:val="000000"/>
                <w:lang w:val="pt-BR"/>
              </w:rPr>
              <w:t>in situ</w:t>
            </w:r>
            <w:r>
              <w:rPr>
                <w:color w:val="000000"/>
                <w:lang w:val="pt-BR"/>
              </w:rPr>
              <w:t xml:space="preserve">, ainda que tenham sido obtidas em fontes </w:t>
            </w:r>
            <w:r>
              <w:rPr>
                <w:b/>
                <w:color w:val="000000"/>
                <w:lang w:val="pt-BR"/>
              </w:rPr>
              <w:t xml:space="preserve">ex situ: </w:t>
            </w:r>
          </w:p>
        </w:tc>
      </w:tr>
      <w:tr w14:paraId="2AA0A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14:paraId="39A1C7A3">
            <w:pPr>
              <w:jc w:val="center"/>
            </w:pPr>
            <w:r>
              <w:rPr>
                <w:b/>
              </w:rPr>
              <w:t>OR</w:t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0E749C66">
            <w:pPr>
              <w:jc w:val="center"/>
            </w:pPr>
            <w:r>
              <w:rPr>
                <w:b/>
              </w:rPr>
              <w:t>OU</w:t>
            </w:r>
          </w:p>
        </w:tc>
      </w:tr>
      <w:tr w14:paraId="7FB74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6F96A4C6">
            <w:pPr>
              <w:spacing w:after="120"/>
            </w:pPr>
            <w:r>
              <w:t xml:space="preserve">Identification of the </w:t>
            </w:r>
            <w:r>
              <w:rPr>
                <w:b/>
              </w:rPr>
              <w:t xml:space="preserve">ex situ </w:t>
            </w:r>
            <w:r>
              <w:t xml:space="preserve">source of the genetic heritage, with the data contained in the deposit record, when it comes from an </w:t>
            </w:r>
            <w:r>
              <w:rPr>
                <w:b/>
              </w:rPr>
              <w:t>ex situ</w:t>
            </w:r>
            <w:r>
              <w:t xml:space="preserve"> collection as determined in paragraph 1 of article 22 of Decree </w:t>
            </w:r>
            <w:r>
              <w:rPr>
                <w:color w:val="000000"/>
              </w:rPr>
              <w:t>No. 8,772</w:t>
            </w:r>
            <w:r>
              <w:t>:</w:t>
            </w:r>
          </w:p>
        </w:tc>
        <w:tc>
          <w:tcPr>
            <w:tcW w:w="4850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013C41DC">
            <w:pPr>
              <w:spacing w:after="120"/>
              <w:rPr>
                <w:lang w:val="pt-BR"/>
              </w:rPr>
            </w:pPr>
            <w:r>
              <w:rPr>
                <w:color w:val="000000"/>
                <w:lang w:val="pt-BR"/>
              </w:rPr>
              <w:t xml:space="preserve">Identificação da fonte de obtenção </w:t>
            </w:r>
            <w:r>
              <w:rPr>
                <w:b/>
                <w:color w:val="000000"/>
                <w:lang w:val="pt-BR"/>
              </w:rPr>
              <w:t>ex situ</w:t>
            </w:r>
            <w:r>
              <w:rPr>
                <w:color w:val="000000"/>
                <w:lang w:val="pt-BR"/>
              </w:rPr>
              <w:t xml:space="preserve"> do patrimônio genético, com as informações constantes no registro de depósito quando for oriundo de coleção </w:t>
            </w:r>
            <w:r>
              <w:rPr>
                <w:b/>
                <w:color w:val="000000"/>
                <w:lang w:val="pt-BR"/>
              </w:rPr>
              <w:t>ex situ</w:t>
            </w:r>
            <w:r>
              <w:rPr>
                <w:color w:val="000000"/>
                <w:lang w:val="pt-BR"/>
              </w:rPr>
              <w:t xml:space="preserve"> conforme determina o §1</w:t>
            </w:r>
            <w:r>
              <w:rPr>
                <w:color w:val="000000"/>
                <w:vertAlign w:val="superscript"/>
                <w:lang w:val="pt-BR"/>
              </w:rPr>
              <w:t>o</w:t>
            </w:r>
            <w:r>
              <w:rPr>
                <w:color w:val="000000"/>
                <w:lang w:val="pt-BR"/>
              </w:rPr>
              <w:t xml:space="preserve"> do art. 22 do Decreto n</w:t>
            </w:r>
            <w:r>
              <w:rPr>
                <w:color w:val="000000"/>
                <w:vertAlign w:val="superscript"/>
                <w:lang w:val="pt-BR"/>
              </w:rPr>
              <w:t>o</w:t>
            </w:r>
            <w:r>
              <w:rPr>
                <w:color w:val="000000"/>
                <w:lang w:val="pt-BR"/>
              </w:rPr>
              <w:t xml:space="preserve"> 8.772, de 2016: </w:t>
            </w:r>
          </w:p>
        </w:tc>
      </w:tr>
      <w:tr w14:paraId="440CF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single" w:color="000000" w:sz="4" w:space="0"/>
            </w:tcBorders>
          </w:tcPr>
          <w:p w14:paraId="0AE32040">
            <w:pPr>
              <w:spacing w:after="120"/>
              <w:ind w:right="227"/>
            </w:pPr>
          </w:p>
        </w:tc>
        <w:tc>
          <w:tcPr>
            <w:tcW w:w="4850" w:type="dxa"/>
            <w:tcBorders>
              <w:top w:val="single" w:color="000000" w:sz="4" w:space="0"/>
            </w:tcBorders>
          </w:tcPr>
          <w:p w14:paraId="5F25B13A">
            <w:pPr>
              <w:spacing w:after="120"/>
              <w:rPr>
                <w:lang w:val="pt-BR"/>
              </w:rPr>
            </w:pPr>
          </w:p>
        </w:tc>
      </w:tr>
      <w:tr w14:paraId="6F889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left w:val="nil"/>
              <w:right w:val="nil"/>
            </w:tcBorders>
          </w:tcPr>
          <w:p w14:paraId="3FFF8690">
            <w:pPr>
              <w:spacing w:after="120"/>
              <w:ind w:right="227"/>
            </w:pPr>
            <w:r>
              <w:t>3. Information on the type of sample and the form of packaging:</w:t>
            </w:r>
          </w:p>
        </w:tc>
        <w:tc>
          <w:tcPr>
            <w:tcW w:w="4850" w:type="dxa"/>
            <w:tcBorders>
              <w:left w:val="nil"/>
              <w:right w:val="nil"/>
            </w:tcBorders>
          </w:tcPr>
          <w:p w14:paraId="48DA0898">
            <w:pPr>
              <w:spacing w:after="120"/>
              <w:ind w:left="4" w:hanging="4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 xml:space="preserve">3. Informações sobre o tipo de amostra e a forma de acondicionamento: </w:t>
            </w:r>
          </w:p>
        </w:tc>
      </w:tr>
      <w:tr w14:paraId="35347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</w:tcPr>
          <w:p w14:paraId="53C57B70">
            <w:pPr>
              <w:spacing w:after="120"/>
              <w:ind w:right="227"/>
            </w:pPr>
          </w:p>
        </w:tc>
        <w:tc>
          <w:tcPr>
            <w:tcW w:w="4850" w:type="dxa"/>
          </w:tcPr>
          <w:p w14:paraId="5A1D683B">
            <w:pPr>
              <w:spacing w:after="120"/>
              <w:ind w:left="4" w:hanging="4"/>
              <w:rPr>
                <w:color w:val="000000"/>
                <w:lang w:val="pt-BR"/>
              </w:rPr>
            </w:pPr>
          </w:p>
        </w:tc>
      </w:tr>
      <w:tr w14:paraId="72D01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left w:val="nil"/>
              <w:right w:val="nil"/>
            </w:tcBorders>
          </w:tcPr>
          <w:p w14:paraId="381A8FBE">
            <w:pPr>
              <w:spacing w:after="120"/>
              <w:ind w:right="227"/>
            </w:pPr>
            <w:r>
              <w:t>4. Quantity of containers, volume or weight:</w:t>
            </w:r>
          </w:p>
        </w:tc>
        <w:tc>
          <w:tcPr>
            <w:tcW w:w="4850" w:type="dxa"/>
            <w:tcBorders>
              <w:left w:val="nil"/>
              <w:right w:val="nil"/>
            </w:tcBorders>
          </w:tcPr>
          <w:p w14:paraId="6E0938AC">
            <w:pPr>
              <w:spacing w:after="120"/>
              <w:ind w:left="4" w:hanging="4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4. Quantidade de recipientes, volume ou peso:</w:t>
            </w:r>
          </w:p>
        </w:tc>
      </w:tr>
      <w:tr w14:paraId="5306F9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</w:tcPr>
          <w:p w14:paraId="67A5DD0B">
            <w:pPr>
              <w:spacing w:after="120"/>
            </w:pPr>
          </w:p>
        </w:tc>
        <w:tc>
          <w:tcPr>
            <w:tcW w:w="4850" w:type="dxa"/>
          </w:tcPr>
          <w:p w14:paraId="611DE5D5">
            <w:pPr>
              <w:spacing w:after="120"/>
              <w:rPr>
                <w:lang w:val="pt-BR"/>
              </w:rPr>
            </w:pPr>
          </w:p>
        </w:tc>
      </w:tr>
      <w:tr w14:paraId="3637E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left w:val="nil"/>
              <w:bottom w:val="nil"/>
              <w:right w:val="nil"/>
            </w:tcBorders>
          </w:tcPr>
          <w:p w14:paraId="4D994E95">
            <w:pPr>
              <w:spacing w:after="120"/>
              <w:ind w:right="227"/>
            </w:pPr>
            <w:r>
              <w:t>5. Is it traditional local or Creole variety or of the locally adapted breed or Creole race?</w:t>
            </w:r>
          </w:p>
          <w:p w14:paraId="0D689641">
            <w:pPr>
              <w:spacing w:after="120"/>
              <w:ind w:right="227"/>
            </w:pPr>
            <w:r>
              <w:t>(   ) Yes</w:t>
            </w:r>
          </w:p>
          <w:p w14:paraId="0058F337">
            <w:pPr>
              <w:spacing w:after="120"/>
            </w:pPr>
            <w:r>
              <w:t>(   ) No</w:t>
            </w:r>
          </w:p>
        </w:tc>
        <w:tc>
          <w:tcPr>
            <w:tcW w:w="4850" w:type="dxa"/>
            <w:tcBorders>
              <w:left w:val="nil"/>
              <w:bottom w:val="nil"/>
              <w:right w:val="nil"/>
            </w:tcBorders>
          </w:tcPr>
          <w:p w14:paraId="6F772FE9">
            <w:pPr>
              <w:spacing w:after="120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5. Trata-se de variedade tradicional local ou crioula ou de raça localmente adaptada ou crioula?</w:t>
            </w:r>
          </w:p>
          <w:p w14:paraId="4A7600EC">
            <w:pPr>
              <w:spacing w:after="120"/>
            </w:pPr>
            <w:r>
              <w:t>(   ) Sim</w:t>
            </w:r>
          </w:p>
          <w:p w14:paraId="2C0E2897">
            <w:pPr>
              <w:spacing w:after="120"/>
            </w:pPr>
            <w:r>
              <w:t>(   ) Não</w:t>
            </w:r>
          </w:p>
        </w:tc>
      </w:tr>
      <w:tr w14:paraId="26839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14:paraId="1AAFFC29"/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6C6980EA"/>
        </w:tc>
      </w:tr>
      <w:tr w14:paraId="430D6E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nil"/>
              <w:left w:val="nil"/>
              <w:bottom w:val="nil"/>
              <w:right w:val="nil"/>
            </w:tcBorders>
          </w:tcPr>
          <w:p w14:paraId="205B16E2">
            <w:pPr>
              <w:spacing w:after="120"/>
              <w:ind w:right="227"/>
            </w:pPr>
            <w:r>
              <w:t xml:space="preserve">6. The RECIPIENT declares that will use the received genetic heritage samples for: </w:t>
            </w:r>
          </w:p>
          <w:tbl>
            <w:tblPr>
              <w:tblStyle w:val="28"/>
              <w:tblW w:w="4537" w:type="dxa"/>
              <w:tblInd w:w="0" w:type="dxa"/>
              <w:tblLayout w:type="fixed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2289"/>
              <w:gridCol w:w="2248"/>
            </w:tblGrid>
            <w:tr w14:paraId="3BB38883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2289" w:type="dxa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6189A694">
                  <w:pPr>
                    <w:spacing w:after="120"/>
                    <w:ind w:left="113" w:right="227"/>
                    <w:rPr>
                      <w:b/>
                    </w:rPr>
                  </w:pPr>
                  <w:r>
                    <w:rPr>
                      <w:b/>
                    </w:rPr>
                    <w:t>OBJECTIVE</w:t>
                  </w:r>
                </w:p>
              </w:tc>
              <w:tc>
                <w:tcPr>
                  <w:tcW w:w="2248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78C86ABB">
                  <w:pPr>
                    <w:spacing w:after="120"/>
                    <w:ind w:left="113" w:right="227"/>
                    <w:rPr>
                      <w:b/>
                    </w:rPr>
                  </w:pPr>
                  <w:r>
                    <w:rPr>
                      <w:b/>
                    </w:rPr>
                    <w:t>INTENDED USE AND APPLICATION AREA</w:t>
                  </w:r>
                </w:p>
              </w:tc>
            </w:tr>
            <w:tr w14:paraId="18B67CDC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2289" w:type="dxa"/>
                  <w:vMerge w:val="restart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7188D7BD">
                  <w:pPr>
                    <w:spacing w:after="120"/>
                    <w:ind w:left="113" w:right="227"/>
                  </w:pPr>
                  <w:r>
                    <w:t>(   ) Research</w:t>
                  </w:r>
                </w:p>
              </w:tc>
              <w:tc>
                <w:tcPr>
                  <w:tcW w:w="2248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29C958CF">
                  <w:pPr>
                    <w:spacing w:after="120"/>
                    <w:ind w:left="113" w:right="227"/>
                  </w:pPr>
                  <w:r>
                    <w:t xml:space="preserve">Intended Uses: </w:t>
                  </w:r>
                </w:p>
                <w:p w14:paraId="2C60CD73">
                  <w:pPr>
                    <w:spacing w:after="120"/>
                    <w:ind w:left="113" w:right="227"/>
                  </w:pPr>
                </w:p>
              </w:tc>
            </w:tr>
            <w:tr w14:paraId="65ADDAF5">
              <w:trPr>
                <w:trHeight w:val="20" w:hRule="atLeast"/>
              </w:trPr>
              <w:tc>
                <w:tcPr>
                  <w:tcW w:w="2289" w:type="dxa"/>
                  <w:vMerge w:val="continue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2BE0D3B9"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248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6B2724D7">
                  <w:pPr>
                    <w:spacing w:after="120"/>
                    <w:ind w:left="113" w:right="227"/>
                    <w:jc w:val="left"/>
                  </w:pPr>
                  <w:r>
                    <w:t>Project application area / research activity:</w:t>
                  </w:r>
                </w:p>
                <w:p w14:paraId="1098ED51">
                  <w:pPr>
                    <w:spacing w:after="120"/>
                    <w:ind w:left="2220" w:right="227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{{</w:t>
                  </w:r>
                </w:p>
                <w:p w14:paraId="55D4F452">
                  <w:pPr>
                    <w:spacing w:after="120"/>
                    <w:ind w:right="227"/>
                    <w:rPr>
                      <w:sz w:val="6"/>
                      <w:szCs w:val="6"/>
                    </w:rPr>
                  </w:pPr>
                </w:p>
              </w:tc>
            </w:tr>
            <w:tr w14:paraId="193F1D58">
              <w:trPr>
                <w:trHeight w:val="20" w:hRule="atLeast"/>
              </w:trPr>
              <w:tc>
                <w:tcPr>
                  <w:tcW w:w="2289" w:type="dxa"/>
                  <w:vMerge w:val="restart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59B5DBCB">
                  <w:pPr>
                    <w:spacing w:after="120"/>
                    <w:ind w:left="113" w:right="227"/>
                  </w:pPr>
                  <w:r>
                    <w:t>( ) Technological development</w:t>
                  </w:r>
                </w:p>
              </w:tc>
              <w:tc>
                <w:tcPr>
                  <w:tcW w:w="2248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30BDDF14">
                  <w:pPr>
                    <w:spacing w:after="120"/>
                    <w:ind w:left="113" w:right="227"/>
                  </w:pPr>
                  <w:r>
                    <w:t xml:space="preserve">Intended uses: </w:t>
                  </w:r>
                </w:p>
                <w:p w14:paraId="7F23BE0E">
                  <w:pPr>
                    <w:spacing w:after="120"/>
                    <w:ind w:left="113" w:right="227"/>
                  </w:pPr>
                </w:p>
              </w:tc>
            </w:tr>
            <w:tr w14:paraId="77AA10B8">
              <w:trPr>
                <w:trHeight w:val="20" w:hRule="atLeast"/>
              </w:trPr>
              <w:tc>
                <w:tcPr>
                  <w:tcW w:w="2289" w:type="dxa"/>
                  <w:vMerge w:val="continue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25556EFE"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248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598FDEB0">
                  <w:pPr>
                    <w:spacing w:after="120"/>
                    <w:ind w:left="113" w:right="227"/>
                    <w:jc w:val="left"/>
                  </w:pPr>
                  <w:r>
                    <w:t>Project application area / technological development activity:</w:t>
                  </w:r>
                </w:p>
                <w:p w14:paraId="7F5EECA9">
                  <w:pPr>
                    <w:spacing w:after="120"/>
                    <w:ind w:left="113" w:right="227"/>
                  </w:pPr>
                </w:p>
              </w:tc>
            </w:tr>
            <w:tr w14:paraId="6E2BB52D">
              <w:trPr>
                <w:trHeight w:val="20" w:hRule="atLeast"/>
              </w:trPr>
              <w:tc>
                <w:tcPr>
                  <w:tcW w:w="4537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52505077">
                  <w:pPr>
                    <w:spacing w:after="120"/>
                    <w:ind w:left="113" w:right="227"/>
                    <w:rPr>
                      <w:b/>
                    </w:rPr>
                  </w:pPr>
                  <w:r>
                    <w:t xml:space="preserve">( ) Deposit in </w:t>
                  </w:r>
                  <w:r>
                    <w:rPr>
                      <w:b/>
                    </w:rPr>
                    <w:t xml:space="preserve">ex situ </w:t>
                  </w:r>
                  <w:r>
                    <w:t xml:space="preserve">collection </w:t>
                  </w:r>
                </w:p>
              </w:tc>
            </w:tr>
            <w:tr w14:paraId="4AD06BED">
              <w:trPr>
                <w:trHeight w:val="20" w:hRule="atLeast"/>
              </w:trPr>
              <w:tc>
                <w:tcPr>
                  <w:tcW w:w="4537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1DD27849">
                  <w:pPr>
                    <w:spacing w:after="120"/>
                    <w:ind w:left="113" w:right="227"/>
                  </w:pPr>
                  <w:r>
                    <w:t xml:space="preserve">( ) Return of genetic heritage received from a foreign institution maintaining </w:t>
                  </w:r>
                  <w:r>
                    <w:rPr>
                      <w:b/>
                    </w:rPr>
                    <w:t>ex situ</w:t>
                  </w:r>
                  <w:r>
                    <w:t xml:space="preserve"> collection</w:t>
                  </w:r>
                </w:p>
                <w:p w14:paraId="2E5D4297">
                  <w:pPr>
                    <w:spacing w:after="120"/>
                    <w:ind w:left="113" w:right="227"/>
                    <w:rPr>
                      <w:sz w:val="12"/>
                      <w:szCs w:val="12"/>
                    </w:rPr>
                  </w:pPr>
                </w:p>
              </w:tc>
            </w:tr>
          </w:tbl>
          <w:p w14:paraId="38C95178">
            <w:pPr>
              <w:spacing w:after="120"/>
              <w:ind w:right="227"/>
            </w:pP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14:paraId="1E47316D">
            <w:pPr>
              <w:spacing w:after="120"/>
              <w:rPr>
                <w:lang w:val="pt-BR"/>
              </w:rPr>
            </w:pPr>
            <w:r>
              <w:rPr>
                <w:lang w:val="pt-BR"/>
              </w:rPr>
              <w:t xml:space="preserve">6. O DESTINATÁRIO declara que utilizará as amostras de patrimônio genético recebidas para: </w:t>
            </w:r>
          </w:p>
          <w:tbl>
            <w:tblPr>
              <w:tblStyle w:val="29"/>
              <w:tblW w:w="4512" w:type="dxa"/>
              <w:tblInd w:w="0" w:type="dxa"/>
              <w:tblLayout w:type="fixed"/>
              <w:tblCellMar>
                <w:top w:w="0" w:type="dxa"/>
                <w:left w:w="10" w:type="dxa"/>
                <w:bottom w:w="0" w:type="dxa"/>
                <w:right w:w="10" w:type="dxa"/>
              </w:tblCellMar>
            </w:tblPr>
            <w:tblGrid>
              <w:gridCol w:w="2289"/>
              <w:gridCol w:w="2223"/>
            </w:tblGrid>
            <w:tr w14:paraId="224A21BE">
              <w:trPr>
                <w:trHeight w:val="20" w:hRule="atLeast"/>
              </w:trPr>
              <w:tc>
                <w:tcPr>
                  <w:tcW w:w="2289" w:type="dxa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2C3FEB5B">
                  <w:pPr>
                    <w:spacing w:after="120"/>
                    <w:ind w:left="113" w:right="227"/>
                    <w:rPr>
                      <w:b/>
                    </w:rPr>
                  </w:pPr>
                  <w:r>
                    <w:rPr>
                      <w:b/>
                    </w:rPr>
                    <w:t>OBJETIVO</w:t>
                  </w:r>
                </w:p>
              </w:tc>
              <w:tc>
                <w:tcPr>
                  <w:tcW w:w="2223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2B34C3D9">
                  <w:pPr>
                    <w:spacing w:after="120"/>
                    <w:ind w:left="113" w:right="227"/>
                    <w:rPr>
                      <w:b/>
                      <w:lang w:val="pt-BR"/>
                    </w:rPr>
                  </w:pPr>
                  <w:r>
                    <w:rPr>
                      <w:b/>
                      <w:lang w:val="pt-BR"/>
                    </w:rPr>
                    <w:t>USO PRETENDIDO E SETOR DE APLICAÇÃO</w:t>
                  </w:r>
                </w:p>
              </w:tc>
            </w:tr>
            <w:tr w14:paraId="42E28BF8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2289" w:type="dxa"/>
                  <w:vMerge w:val="restart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10FD3B8F">
                  <w:pPr>
                    <w:spacing w:after="120"/>
                    <w:ind w:left="113" w:right="227"/>
                  </w:pPr>
                  <w:r>
                    <w:t>(   ) Pesquisa</w:t>
                  </w:r>
                </w:p>
              </w:tc>
              <w:tc>
                <w:tcPr>
                  <w:tcW w:w="2223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5DE2A601">
                  <w:pPr>
                    <w:spacing w:after="120"/>
                    <w:ind w:left="113" w:right="227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 xml:space="preserve">Usos pretendidos: </w:t>
                  </w:r>
                </w:p>
                <w:p w14:paraId="5B075206">
                  <w:pPr>
                    <w:spacing w:after="120"/>
                    <w:ind w:left="113" w:right="227"/>
                    <w:rPr>
                      <w:lang w:val="pt-BR"/>
                    </w:rPr>
                  </w:pPr>
                </w:p>
              </w:tc>
            </w:tr>
            <w:tr w14:paraId="4844DF60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2289" w:type="dxa"/>
                  <w:vMerge w:val="continue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08207021"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pacing w:line="276" w:lineRule="auto"/>
                    <w:jc w:val="left"/>
                    <w:rPr>
                      <w:lang w:val="pt-BR"/>
                    </w:rPr>
                  </w:pPr>
                </w:p>
              </w:tc>
              <w:tc>
                <w:tcPr>
                  <w:tcW w:w="2223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5F7A5CF5">
                  <w:pPr>
                    <w:spacing w:after="120"/>
                    <w:ind w:left="113" w:right="227"/>
                    <w:jc w:val="left"/>
                    <w:rPr>
                      <w:color w:val="000000"/>
                      <w:lang w:val="pt-BR"/>
                    </w:rPr>
                  </w:pPr>
                  <w:r>
                    <w:rPr>
                      <w:color w:val="000000"/>
                      <w:lang w:val="pt-BR"/>
                    </w:rPr>
                    <w:t>Setor de aplicação do projeto /</w:t>
                  </w:r>
                  <w:r>
                    <w:rPr>
                      <w:i/>
                      <w:color w:val="000000"/>
                      <w:lang w:val="pt-BR"/>
                    </w:rPr>
                    <w:t xml:space="preserve"> </w:t>
                  </w:r>
                  <w:r>
                    <w:rPr>
                      <w:color w:val="000000"/>
                      <w:lang w:val="pt-BR"/>
                    </w:rPr>
                    <w:t xml:space="preserve">atividade de pesquisa: </w:t>
                  </w:r>
                </w:p>
                <w:p w14:paraId="744CFAF8">
                  <w:pPr>
                    <w:spacing w:after="120"/>
                    <w:ind w:left="113" w:right="227"/>
                    <w:rPr>
                      <w:lang w:val="pt-BR"/>
                    </w:rPr>
                  </w:pPr>
                </w:p>
              </w:tc>
            </w:tr>
            <w:tr w14:paraId="36707097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2289" w:type="dxa"/>
                  <w:vMerge w:val="restart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153A3347">
                  <w:pPr>
                    <w:spacing w:after="120"/>
                    <w:ind w:left="113" w:right="227"/>
                  </w:pPr>
                  <w:r>
                    <w:t>( ) Desenvolvimento Tecnológico</w:t>
                  </w:r>
                </w:p>
              </w:tc>
              <w:tc>
                <w:tcPr>
                  <w:tcW w:w="2223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74CDF69E">
                  <w:pPr>
                    <w:spacing w:after="120"/>
                    <w:ind w:left="113" w:right="227"/>
                  </w:pPr>
                  <w:r>
                    <w:t xml:space="preserve">Usos pretendidos: </w:t>
                  </w:r>
                </w:p>
                <w:p w14:paraId="1C7B04B6">
                  <w:pPr>
                    <w:spacing w:after="120"/>
                    <w:ind w:left="113" w:right="227"/>
                  </w:pPr>
                  <w:r>
                    <w:t xml:space="preserve"> </w:t>
                  </w:r>
                </w:p>
              </w:tc>
            </w:tr>
            <w:tr w14:paraId="1657968E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2289" w:type="dxa"/>
                  <w:vMerge w:val="continue"/>
                  <w:tcBorders>
                    <w:top w:val="single" w:color="000000" w:sz="4" w:space="0"/>
                    <w:left w:val="single" w:color="000000" w:sz="4" w:space="0"/>
                  </w:tcBorders>
                  <w:shd w:val="clear" w:color="auto" w:fill="FFFFFF"/>
                </w:tcPr>
                <w:p w14:paraId="129C2CB8">
                  <w:pPr>
                    <w:pBdr>
                      <w:top w:val="none" w:color="auto" w:sz="0" w:space="0"/>
                      <w:left w:val="none" w:color="auto" w:sz="0" w:space="0"/>
                      <w:bottom w:val="none" w:color="auto" w:sz="0" w:space="0"/>
                      <w:right w:val="none" w:color="auto" w:sz="0" w:space="0"/>
                      <w:between w:val="none" w:color="auto" w:sz="0" w:space="0"/>
                    </w:pBdr>
                    <w:spacing w:line="276" w:lineRule="auto"/>
                    <w:jc w:val="left"/>
                  </w:pPr>
                </w:p>
              </w:tc>
              <w:tc>
                <w:tcPr>
                  <w:tcW w:w="2223" w:type="dxa"/>
                  <w:tcBorders>
                    <w:top w:val="single" w:color="000000" w:sz="4" w:space="0"/>
                    <w:left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0C6C5CD9">
                  <w:pPr>
                    <w:spacing w:after="120"/>
                    <w:ind w:left="113" w:right="227"/>
                    <w:jc w:val="left"/>
                    <w:rPr>
                      <w:color w:val="000000"/>
                      <w:lang w:val="pt-BR"/>
                    </w:rPr>
                  </w:pPr>
                  <w:r>
                    <w:rPr>
                      <w:color w:val="000000"/>
                      <w:lang w:val="pt-BR"/>
                    </w:rPr>
                    <w:t>Setor de aplicação do projeto /</w:t>
                  </w:r>
                  <w:r>
                    <w:rPr>
                      <w:i/>
                      <w:color w:val="000000"/>
                      <w:lang w:val="pt-BR"/>
                    </w:rPr>
                    <w:t xml:space="preserve"> </w:t>
                  </w:r>
                  <w:r>
                    <w:rPr>
                      <w:color w:val="000000"/>
                      <w:lang w:val="pt-BR"/>
                    </w:rPr>
                    <w:t xml:space="preserve">atividade de pesquisa: </w:t>
                  </w:r>
                </w:p>
                <w:p w14:paraId="3432A7AE">
                  <w:pPr>
                    <w:spacing w:after="120"/>
                    <w:ind w:left="113" w:right="227"/>
                    <w:rPr>
                      <w:color w:val="000000"/>
                      <w:lang w:val="pt-BR"/>
                    </w:rPr>
                  </w:pPr>
                </w:p>
              </w:tc>
            </w:tr>
            <w:tr w14:paraId="210F4245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451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39377EFB">
                  <w:pPr>
                    <w:spacing w:after="120"/>
                    <w:ind w:left="113" w:right="227"/>
                    <w:rPr>
                      <w:b/>
                      <w:lang w:val="pt-BR"/>
                    </w:rPr>
                  </w:pPr>
                  <w:r>
                    <w:rPr>
                      <w:lang w:val="pt-BR"/>
                    </w:rPr>
                    <w:t>(   ) </w:t>
                  </w:r>
                  <w:r>
                    <w:rPr>
                      <w:color w:val="000000"/>
                      <w:lang w:val="pt-BR"/>
                    </w:rPr>
                    <w:t xml:space="preserve">Depósito em coleção </w:t>
                  </w:r>
                  <w:r>
                    <w:rPr>
                      <w:b/>
                      <w:color w:val="000000"/>
                      <w:lang w:val="pt-BR"/>
                    </w:rPr>
                    <w:t xml:space="preserve">ex situ </w:t>
                  </w:r>
                  <w:r>
                    <w:rPr>
                      <w:lang w:val="pt-BR"/>
                    </w:rPr>
                    <w:t xml:space="preserve"> </w:t>
                  </w:r>
                </w:p>
              </w:tc>
            </w:tr>
            <w:tr w14:paraId="5793D8EE">
              <w:tblPrEx>
                <w:tblCellMar>
                  <w:top w:w="0" w:type="dxa"/>
                  <w:left w:w="10" w:type="dxa"/>
                  <w:bottom w:w="0" w:type="dxa"/>
                  <w:right w:w="10" w:type="dxa"/>
                </w:tblCellMar>
              </w:tblPrEx>
              <w:trPr>
                <w:trHeight w:val="20" w:hRule="atLeast"/>
              </w:trPr>
              <w:tc>
                <w:tcPr>
                  <w:tcW w:w="4512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</w:tcPr>
                <w:p w14:paraId="616E17CC">
                  <w:pPr>
                    <w:spacing w:after="120"/>
                    <w:ind w:left="113" w:right="227"/>
                    <w:rPr>
                      <w:highlight w:val="yellow"/>
                      <w:lang w:val="pt-BR"/>
                    </w:rPr>
                  </w:pPr>
                  <w:r>
                    <w:rPr>
                      <w:lang w:val="pt-BR"/>
                    </w:rPr>
                    <w:t xml:space="preserve">(  ) </w:t>
                  </w:r>
                  <w:r>
                    <w:rPr>
                      <w:color w:val="000000"/>
                      <w:lang w:val="pt-BR"/>
                    </w:rPr>
                    <w:t xml:space="preserve">Devolução de patrimônio genético recebido de instituição estrangeira mantenedora de coleção </w:t>
                  </w:r>
                  <w:r>
                    <w:rPr>
                      <w:b/>
                      <w:color w:val="000000"/>
                      <w:lang w:val="pt-BR"/>
                    </w:rPr>
                    <w:t>ex situ</w:t>
                  </w:r>
                </w:p>
              </w:tc>
            </w:tr>
          </w:tbl>
          <w:p w14:paraId="5DF60AE9">
            <w:pPr>
              <w:spacing w:after="120"/>
              <w:rPr>
                <w:lang w:val="pt-BR"/>
              </w:rPr>
            </w:pPr>
          </w:p>
        </w:tc>
      </w:tr>
      <w:tr w14:paraId="434E51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75522702">
            <w:pPr>
              <w:spacing w:before="120" w:after="120"/>
              <w:ind w:right="227"/>
            </w:pPr>
            <w:r>
              <w:t xml:space="preserve">The samples object of this Shipping Guide should be used exclusively for the objectives, intended use and application area indicated in item 6. In the case of a new use of the samples, the RECIPIENT depends on authorization of the SENDER for any change in the objectives, intended use and application area indicated in item 6 and the CGen </w:t>
            </w:r>
            <w:r>
              <w:rPr>
                <w:color w:val="000000"/>
              </w:rPr>
              <w:t>–</w:t>
            </w:r>
            <w:r>
              <w:t xml:space="preserve"> Council for Genetic Heritage Management (cgen@mma.gov.br) should be informed by any change in the information indicated in item 6.</w:t>
            </w:r>
          </w:p>
        </w:tc>
        <w:tc>
          <w:tcPr>
            <w:tcW w:w="4850" w:type="dxa"/>
            <w:tcBorders>
              <w:top w:val="nil"/>
              <w:left w:val="nil"/>
              <w:bottom w:val="single" w:color="000000" w:sz="4" w:space="0"/>
              <w:right w:val="nil"/>
            </w:tcBorders>
          </w:tcPr>
          <w:p w14:paraId="6BAF68A4">
            <w:pPr>
              <w:spacing w:before="120" w:after="120"/>
              <w:ind w:left="4" w:hanging="4"/>
              <w:rPr>
                <w:lang w:val="pt-BR"/>
              </w:rPr>
            </w:pPr>
            <w:r>
              <w:rPr>
                <w:color w:val="000000"/>
                <w:lang w:val="pt-BR"/>
              </w:rPr>
              <w:t>As</w:t>
            </w:r>
            <w:r>
              <w:rPr>
                <w:b/>
                <w:color w:val="000000"/>
                <w:lang w:val="pt-BR"/>
              </w:rPr>
              <w:t xml:space="preserve"> </w:t>
            </w:r>
            <w:r>
              <w:rPr>
                <w:color w:val="000000"/>
                <w:lang w:val="pt-BR"/>
              </w:rPr>
              <w:t xml:space="preserve">amostras de patrimônio genético objeto desta Guia de Remessa deverão ser utilizadas exclusivamente para os objetivos, uso pretendido e setor de aplicação indicados no item 6. No caso de qualquer novo uso das amostras, o DESTINATÁRIO depende de autorização do(a) REMETENTE para qualquer alteração nos objetivos, uso pretendido e setor de aplicação indicados no item 6 e o CGen </w:t>
            </w:r>
            <w:r>
              <w:rPr>
                <w:lang w:val="pt-BR"/>
              </w:rPr>
              <w:t xml:space="preserve">(cgen@mma.gov.br) deverá ser informado de </w:t>
            </w:r>
            <w:r>
              <w:rPr>
                <w:color w:val="000000"/>
                <w:lang w:val="pt-BR"/>
              </w:rPr>
              <w:t xml:space="preserve">qualquer alteração nas informações indicadas no item 6. </w:t>
            </w:r>
          </w:p>
        </w:tc>
      </w:tr>
      <w:tr w14:paraId="499CF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3" w:type="dxa"/>
            <w:tcBorders>
              <w:top w:val="single" w:color="000000" w:sz="4" w:space="0"/>
              <w:left w:val="nil"/>
            </w:tcBorders>
          </w:tcPr>
          <w:p w14:paraId="2E9CEAFE">
            <w:pPr>
              <w:numPr>
                <w:ilvl w:val="0"/>
                <w:numId w:val="1"/>
              </w:numPr>
              <w:spacing w:after="120"/>
              <w:ind w:right="227"/>
            </w:pPr>
            <w:r>
              <w:t>Genetic heritage samples may be transferred to third parties.</w:t>
            </w:r>
          </w:p>
          <w:p w14:paraId="54EFE3A5">
            <w:pPr>
              <w:spacing w:after="120"/>
              <w:ind w:right="227" w:firstLine="418"/>
            </w:pPr>
            <w:r>
              <w:t>7.1. For the transfer, the RECIPIENT will require the subsequent recipient to sign a new MTA - containing all the clauses of this MTA, including Shipping Guide(s) identifying the samples, according to this template (approved by CGen).</w:t>
            </w:r>
          </w:p>
          <w:p w14:paraId="11FD14D3">
            <w:pPr>
              <w:spacing w:after="120"/>
              <w:ind w:right="227" w:firstLine="418"/>
            </w:pPr>
            <w:r>
              <w:t>7.2. The RECIPIENT is responsible for sending the MTA signed with the subsequent recipient to the CGen (cgen@mma.gov.br) in case of transfer of the samples of genetic heritage object of this MTA, along with the respective Shipping Guide(s).</w:t>
            </w:r>
          </w:p>
          <w:p w14:paraId="35149B00">
            <w:pPr>
              <w:spacing w:after="120"/>
              <w:ind w:right="227" w:firstLine="418"/>
            </w:pPr>
            <w:r>
              <w:t>7.3. The provisions set forth in items 7.1 and 7.2 shall apply to all subsequent transfers.</w:t>
            </w:r>
          </w:p>
        </w:tc>
        <w:tc>
          <w:tcPr>
            <w:tcW w:w="4850" w:type="dxa"/>
            <w:tcBorders>
              <w:top w:val="single" w:color="000000" w:sz="4" w:space="0"/>
              <w:right w:val="nil"/>
            </w:tcBorders>
          </w:tcPr>
          <w:p w14:paraId="728B1940">
            <w:pPr>
              <w:spacing w:after="120"/>
              <w:ind w:left="4" w:hanging="4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7. As amostras do patrimônio genético poderão ser repassadas a terceiros.</w:t>
            </w:r>
          </w:p>
          <w:p w14:paraId="5D54ACAD">
            <w:pPr>
              <w:spacing w:after="120"/>
              <w:ind w:left="4" w:firstLine="416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>7.1. Para o repasse, o DESTINATÁRIO exigirá do destinatário subsequente a assinatura de novo TTM contendo todas as cláusulas deste TTM, inclusive com Guia(s) de Remessa(s) identificando as amostras, conforme este modelo aprovado pelo CGen.</w:t>
            </w:r>
          </w:p>
          <w:p w14:paraId="14714F94">
            <w:pPr>
              <w:spacing w:after="120"/>
              <w:ind w:left="4" w:firstLine="416"/>
              <w:rPr>
                <w:color w:val="000000"/>
                <w:lang w:val="pt-BR"/>
              </w:rPr>
            </w:pPr>
            <w:r>
              <w:rPr>
                <w:color w:val="000000"/>
                <w:lang w:val="pt-BR"/>
              </w:rPr>
              <w:t xml:space="preserve">7.2. O DESTINATÁRIO deverá enviar ao CGen </w:t>
            </w:r>
            <w:r>
              <w:rPr>
                <w:lang w:val="pt-BR"/>
              </w:rPr>
              <w:t>(cgen@mma.gov.br)</w:t>
            </w:r>
            <w:r>
              <w:rPr>
                <w:color w:val="000000"/>
                <w:lang w:val="pt-BR"/>
              </w:rPr>
              <w:t xml:space="preserve"> o TTM firmado com o destinatário subsequente em caso de repasse das amostras de patrimônio genético objeto deste TTM, acompanhado da(s) respectiva(s) Guia(s) de Remessa.</w:t>
            </w:r>
          </w:p>
          <w:p w14:paraId="5A06955D">
            <w:pPr>
              <w:spacing w:after="120"/>
              <w:ind w:left="4" w:firstLine="416"/>
              <w:rPr>
                <w:lang w:val="pt-BR"/>
              </w:rPr>
            </w:pPr>
            <w:r>
              <w:rPr>
                <w:color w:val="000000"/>
                <w:lang w:val="pt-BR"/>
              </w:rPr>
              <w:t>7.3. O disposto nos itens 7.1 e 7.2 aplica-se a todos os repasses subsequentes.</w:t>
            </w:r>
          </w:p>
        </w:tc>
      </w:tr>
    </w:tbl>
    <w:p w14:paraId="26D2EBEA">
      <w:pPr>
        <w:spacing w:after="120"/>
        <w:rPr>
          <w:sz w:val="22"/>
          <w:szCs w:val="22"/>
          <w:lang w:val="pt-BR"/>
        </w:rPr>
      </w:pPr>
    </w:p>
    <w:p w14:paraId="04B143DB">
      <w:pPr>
        <w:jc w:val="right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>Santarém (PA), XX de XXXX de 20XX.</w:t>
      </w:r>
    </w:p>
    <w:p w14:paraId="1F84E5DA">
      <w:pPr>
        <w:rPr>
          <w:sz w:val="22"/>
          <w:szCs w:val="22"/>
          <w:lang w:val="pt-BR"/>
        </w:rPr>
      </w:pPr>
    </w:p>
    <w:tbl>
      <w:tblPr>
        <w:tblStyle w:val="30"/>
        <w:tblW w:w="9796" w:type="dxa"/>
        <w:tblInd w:w="-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864"/>
        <w:gridCol w:w="240"/>
        <w:gridCol w:w="4692"/>
      </w:tblGrid>
      <w:tr w14:paraId="14CD3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4864" w:type="dxa"/>
          </w:tcPr>
          <w:p w14:paraId="37249A57">
            <w:pPr>
              <w:rPr>
                <w:sz w:val="22"/>
                <w:szCs w:val="22"/>
                <w:lang w:val="pt-BR"/>
              </w:rPr>
            </w:pPr>
          </w:p>
          <w:p w14:paraId="7A97B840">
            <w:pPr>
              <w:rPr>
                <w:sz w:val="22"/>
                <w:szCs w:val="22"/>
                <w:lang w:val="pt-BR"/>
              </w:rPr>
            </w:pPr>
          </w:p>
          <w:p w14:paraId="5960FF20">
            <w:pPr>
              <w:rPr>
                <w:sz w:val="22"/>
                <w:szCs w:val="22"/>
                <w:lang w:val="pt-BR"/>
              </w:rPr>
            </w:pPr>
          </w:p>
          <w:p w14:paraId="1D9B3EED">
            <w:pPr>
              <w:rPr>
                <w:sz w:val="22"/>
                <w:szCs w:val="22"/>
                <w:lang w:val="pt-BR"/>
              </w:rPr>
            </w:pPr>
          </w:p>
          <w:p w14:paraId="1241C6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</w:t>
            </w:r>
          </w:p>
        </w:tc>
        <w:tc>
          <w:tcPr>
            <w:tcW w:w="240" w:type="dxa"/>
          </w:tcPr>
          <w:p w14:paraId="006761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12700" cy="762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14:paraId="518ECE46">
            <w:pPr>
              <w:rPr>
                <w:sz w:val="22"/>
                <w:szCs w:val="22"/>
              </w:rPr>
            </w:pPr>
          </w:p>
          <w:p w14:paraId="4243B906">
            <w:pPr>
              <w:rPr>
                <w:sz w:val="22"/>
                <w:szCs w:val="22"/>
              </w:rPr>
            </w:pPr>
          </w:p>
          <w:p w14:paraId="043FB5AB">
            <w:pPr>
              <w:rPr>
                <w:sz w:val="22"/>
                <w:szCs w:val="22"/>
              </w:rPr>
            </w:pPr>
          </w:p>
          <w:p w14:paraId="1338B58C">
            <w:pPr>
              <w:rPr>
                <w:sz w:val="22"/>
                <w:szCs w:val="22"/>
              </w:rPr>
            </w:pPr>
          </w:p>
          <w:p w14:paraId="6E8C3B5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</w:t>
            </w:r>
          </w:p>
        </w:tc>
      </w:tr>
      <w:tr w14:paraId="04752D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864" w:type="dxa"/>
          </w:tcPr>
          <w:p w14:paraId="6A51A631">
            <w:pPr>
              <w:jc w:val="center"/>
              <w:rPr>
                <w:rFonts w:hint="default"/>
                <w:sz w:val="16"/>
                <w:szCs w:val="16"/>
                <w:lang w:val="pt-BR"/>
              </w:rPr>
            </w:pPr>
            <w:r>
              <w:rPr>
                <w:rFonts w:hint="default"/>
                <w:sz w:val="16"/>
                <w:szCs w:val="16"/>
                <w:lang w:val="pt-BR"/>
              </w:rPr>
              <w:t xml:space="preserve">Representante legal </w:t>
            </w:r>
          </w:p>
          <w:p w14:paraId="6CB3CEC2">
            <w:pPr>
              <w:jc w:val="center"/>
              <w:rPr>
                <w:rFonts w:hint="default"/>
                <w:sz w:val="16"/>
                <w:szCs w:val="16"/>
                <w:lang w:val="pt-BR"/>
              </w:rPr>
            </w:pPr>
            <w:r>
              <w:rPr>
                <w:rFonts w:hint="default"/>
                <w:sz w:val="16"/>
                <w:szCs w:val="16"/>
                <w:lang w:val="pt-BR"/>
              </w:rPr>
              <w:t>DEPOSITANTE</w:t>
            </w:r>
          </w:p>
          <w:p w14:paraId="67F14A6D">
            <w:pPr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</w:p>
          <w:p w14:paraId="7A59B8F2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5F191E3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inline distT="0" distB="0" distL="0" distR="0">
                  <wp:extent cx="12700" cy="762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2" w:type="dxa"/>
          </w:tcPr>
          <w:p w14:paraId="4AABBD67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Representante da Ufopa</w:t>
            </w:r>
          </w:p>
          <w:p w14:paraId="1E74F18C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Claudir Oliveira</w:t>
            </w:r>
          </w:p>
          <w:p w14:paraId="7DC833B9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Portaria nº 123/2025 – Reitoria - Plataforma SisGen (Sistema Nacional de Gestão de Patrimônio Genético e do Conhecimento Tradicional Associado), do Conselho de Gestão do Patrimônio Genético - CGEN) </w:t>
            </w:r>
          </w:p>
        </w:tc>
      </w:tr>
      <w:tr w14:paraId="28EDB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796" w:type="dxa"/>
            <w:gridSpan w:val="3"/>
          </w:tcPr>
          <w:p w14:paraId="468F68E8">
            <w:pPr>
              <w:jc w:val="center"/>
              <w:rPr>
                <w:sz w:val="22"/>
                <w:szCs w:val="22"/>
                <w:lang w:val="pt-BR"/>
              </w:rPr>
            </w:pPr>
          </w:p>
          <w:p w14:paraId="6BD37DB0">
            <w:pPr>
              <w:jc w:val="center"/>
              <w:rPr>
                <w:sz w:val="22"/>
                <w:szCs w:val="22"/>
                <w:lang w:val="pt-BR"/>
              </w:rPr>
            </w:pPr>
          </w:p>
          <w:p w14:paraId="5FCDFDA2">
            <w:pPr>
              <w:jc w:val="center"/>
              <w:rPr>
                <w:sz w:val="22"/>
                <w:szCs w:val="22"/>
                <w:lang w:val="pt-BR"/>
              </w:rPr>
            </w:pPr>
          </w:p>
          <w:p w14:paraId="0DC8505C">
            <w:pPr>
              <w:jc w:val="center"/>
              <w:rPr>
                <w:sz w:val="22"/>
                <w:szCs w:val="22"/>
                <w:lang w:val="pt-BR"/>
              </w:rPr>
            </w:pPr>
          </w:p>
          <w:p w14:paraId="1E2913EA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</w:rPr>
              <w:t>________________________________________</w:t>
            </w:r>
          </w:p>
        </w:tc>
      </w:tr>
      <w:tr w14:paraId="3AFCF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9796" w:type="dxa"/>
            <w:gridSpan w:val="3"/>
          </w:tcPr>
          <w:p w14:paraId="464A205A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Universidade Federal do Oeste do Pará</w:t>
            </w:r>
          </w:p>
          <w:p w14:paraId="24C7EFF1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Kelly Christina Ferreira Castro</w:t>
            </w:r>
          </w:p>
          <w:p w14:paraId="254CC2D3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>Pró-Reitora de Pesquisa, Pós-Graduação e Inovação Tecnológica</w:t>
            </w:r>
          </w:p>
          <w:p w14:paraId="4725A9E2">
            <w:pPr>
              <w:jc w:val="center"/>
              <w:rPr>
                <w:sz w:val="22"/>
                <w:szCs w:val="22"/>
                <w:lang w:val="pt-BR"/>
              </w:rPr>
            </w:pPr>
            <w:r>
              <w:rPr>
                <w:sz w:val="22"/>
                <w:szCs w:val="22"/>
                <w:lang w:val="pt-BR"/>
              </w:rPr>
              <w:t xml:space="preserve"> Portaria n° 109 de 24 de março de 2023</w:t>
            </w:r>
          </w:p>
          <w:p w14:paraId="1628EC46">
            <w:pPr>
              <w:jc w:val="center"/>
              <w:rPr>
                <w:sz w:val="22"/>
                <w:szCs w:val="22"/>
                <w:lang w:val="pt-BR"/>
              </w:rPr>
            </w:pPr>
          </w:p>
        </w:tc>
      </w:tr>
    </w:tbl>
    <w:p w14:paraId="1E606E7C">
      <w:pPr>
        <w:rPr>
          <w:sz w:val="22"/>
          <w:szCs w:val="22"/>
          <w:lang w:val="pt-BR"/>
        </w:rPr>
      </w:pPr>
    </w:p>
    <w:p w14:paraId="747B47BC">
      <w:pPr>
        <w:rPr>
          <w:sz w:val="22"/>
          <w:szCs w:val="22"/>
          <w:lang w:val="pt-BR"/>
        </w:rPr>
      </w:pPr>
    </w:p>
    <w:p w14:paraId="387BFC72">
      <w:pPr>
        <w:rPr>
          <w:sz w:val="22"/>
          <w:szCs w:val="22"/>
          <w:lang w:val="pt-BR"/>
        </w:rPr>
      </w:pPr>
    </w:p>
    <w:p w14:paraId="079072B7">
      <w:pPr>
        <w:rPr>
          <w:sz w:val="22"/>
          <w:szCs w:val="22"/>
          <w:lang w:val="pt-BR"/>
        </w:rPr>
      </w:pPr>
    </w:p>
    <w:tbl>
      <w:tblPr>
        <w:tblStyle w:val="31"/>
        <w:tblW w:w="9623" w:type="dxa"/>
        <w:tblInd w:w="1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72"/>
        <w:gridCol w:w="4651"/>
      </w:tblGrid>
      <w:tr w14:paraId="024600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72" w:type="dxa"/>
            <w:tcBorders>
              <w:right w:val="single" w:color="000000" w:sz="4" w:space="0"/>
            </w:tcBorders>
          </w:tcPr>
          <w:p w14:paraId="4B8D8D07">
            <w:pPr>
              <w:ind w:right="22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First Copy (sender)</w:t>
            </w:r>
          </w:p>
          <w:p w14:paraId="10682860">
            <w:pPr>
              <w:spacing w:after="120"/>
              <w:ind w:right="22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Second Copy (accompanying the samples)</w:t>
            </w:r>
          </w:p>
        </w:tc>
        <w:tc>
          <w:tcPr>
            <w:tcW w:w="4651" w:type="dxa"/>
            <w:tcBorders>
              <w:left w:val="single" w:color="000000" w:sz="4" w:space="0"/>
            </w:tcBorders>
          </w:tcPr>
          <w:p w14:paraId="06E1B4C2">
            <w:pPr>
              <w:ind w:left="57"/>
              <w:rPr>
                <w:color w:val="000000"/>
                <w:sz w:val="14"/>
                <w:szCs w:val="14"/>
                <w:lang w:val="pt-BR"/>
              </w:rPr>
            </w:pPr>
            <w:r>
              <w:rPr>
                <w:color w:val="000000"/>
                <w:sz w:val="14"/>
                <w:szCs w:val="14"/>
                <w:lang w:val="pt-BR"/>
              </w:rPr>
              <w:t>1</w:t>
            </w:r>
            <w:r>
              <w:rPr>
                <w:color w:val="000000"/>
                <w:sz w:val="14"/>
                <w:szCs w:val="14"/>
                <w:vertAlign w:val="superscript"/>
                <w:lang w:val="pt-BR"/>
              </w:rPr>
              <w:t>a</w:t>
            </w:r>
            <w:r>
              <w:rPr>
                <w:color w:val="000000"/>
                <w:sz w:val="14"/>
                <w:szCs w:val="14"/>
                <w:lang w:val="pt-BR"/>
              </w:rPr>
              <w:t xml:space="preserve"> Via (remetente)</w:t>
            </w:r>
          </w:p>
          <w:p w14:paraId="1BE02DB4">
            <w:pPr>
              <w:ind w:left="57"/>
              <w:rPr>
                <w:color w:val="000000"/>
                <w:sz w:val="14"/>
                <w:szCs w:val="14"/>
                <w:lang w:val="pt-BR"/>
              </w:rPr>
            </w:pPr>
            <w:r>
              <w:rPr>
                <w:color w:val="000000"/>
                <w:sz w:val="14"/>
                <w:szCs w:val="14"/>
                <w:lang w:val="pt-BR"/>
              </w:rPr>
              <w:t>2</w:t>
            </w:r>
            <w:r>
              <w:rPr>
                <w:color w:val="000000"/>
                <w:sz w:val="14"/>
                <w:szCs w:val="14"/>
                <w:vertAlign w:val="superscript"/>
                <w:lang w:val="pt-BR"/>
              </w:rPr>
              <w:t>a</w:t>
            </w:r>
            <w:r>
              <w:rPr>
                <w:color w:val="000000"/>
                <w:sz w:val="14"/>
                <w:szCs w:val="14"/>
                <w:lang w:val="pt-BR"/>
              </w:rPr>
              <w:t xml:space="preserve"> Via (destinatário)</w:t>
            </w:r>
          </w:p>
        </w:tc>
      </w:tr>
    </w:tbl>
    <w:p w14:paraId="529B4FFC">
      <w:pPr>
        <w:rPr>
          <w:sz w:val="22"/>
          <w:szCs w:val="22"/>
          <w:lang w:val="pt-BR"/>
        </w:rPr>
      </w:pPr>
    </w:p>
    <w:p w14:paraId="2B585782">
      <w:pPr>
        <w:rPr>
          <w:sz w:val="22"/>
          <w:szCs w:val="22"/>
          <w:lang w:val="pt-BR"/>
        </w:rPr>
      </w:pPr>
    </w:p>
    <w:sectPr>
      <w:headerReference r:id="rId3" w:type="default"/>
      <w:footerReference r:id="rId4" w:type="default"/>
      <w:pgSz w:w="11906" w:h="16838"/>
      <w:pgMar w:top="1134" w:right="1077" w:bottom="1276" w:left="1077" w:header="851" w:footer="56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AD8D7C49-5DDF-46A5-AD72-C10D40DE4E66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DB503EC3-A05E-4446-A428-7706F345F5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7981DD2E-7891-4603-A380-40743AFEEE61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128B00BB-BA58-483B-AE7B-A90A4D26830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BB010350-A471-47BF-A8C2-0D1AC0F84A7B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FFFD30D0-B45C-482E-A3F2-030800CEA8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5BD880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jc w:val="right"/>
      <w:rPr>
        <w:rFonts w:eastAsia="Times New Roman" w:cs="Times New Roman"/>
        <w:color w:val="000000"/>
        <w:szCs w:val="20"/>
      </w:rPr>
    </w:pPr>
    <w:r>
      <w:rPr>
        <w:rFonts w:eastAsia="Times New Roman" w:cs="Times New Roman"/>
        <w:color w:val="000000"/>
        <w:szCs w:val="20"/>
      </w:rPr>
      <w:fldChar w:fldCharType="begin"/>
    </w:r>
    <w:r>
      <w:rPr>
        <w:rFonts w:eastAsia="Times New Roman" w:cs="Times New Roman"/>
        <w:color w:val="000000"/>
        <w:szCs w:val="20"/>
      </w:rPr>
      <w:instrText xml:space="preserve">PAGE</w:instrText>
    </w:r>
    <w:r>
      <w:rPr>
        <w:rFonts w:eastAsia="Times New Roman" w:cs="Times New Roman"/>
        <w:color w:val="000000"/>
        <w:szCs w:val="20"/>
      </w:rPr>
      <w:fldChar w:fldCharType="separate"/>
    </w:r>
    <w:r>
      <w:rPr>
        <w:rFonts w:eastAsia="Times New Roman" w:cs="Times New Roman"/>
        <w:color w:val="000000"/>
        <w:szCs w:val="20"/>
      </w:rPr>
      <w:t>2</w:t>
    </w:r>
    <w:r>
      <w:rPr>
        <w:rFonts w:eastAsia="Times New Roman" w:cs="Times New Roman"/>
        <w:color w:val="000000"/>
        <w:szCs w:val="20"/>
      </w:rPr>
      <w:fldChar w:fldCharType="end"/>
    </w:r>
    <w:r>
      <w:rPr>
        <w:rFonts w:eastAsia="Times New Roman" w:cs="Times New Roman"/>
        <w:color w:val="000000"/>
        <w:szCs w:val="20"/>
      </w:rPr>
      <w:t>/3</w:t>
    </w:r>
  </w:p>
  <w:p w14:paraId="088D7AF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eastAsia="Times New Roman" w:cs="Times New Roman"/>
        <w:color w:val="000000"/>
        <w:szCs w:val="2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6A0109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eastAsia="Times New Roman" w:cs="Times New Roman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572D3B"/>
    <w:multiLevelType w:val="multilevel"/>
    <w:tmpl w:val="3B572D3B"/>
    <w:lvl w:ilvl="0" w:tentative="0">
      <w:start w:val="7"/>
      <w:numFmt w:val="decimal"/>
      <w:lvlText w:val="%1."/>
      <w:lvlJc w:val="left"/>
      <w:pPr>
        <w:ind w:left="0" w:firstLine="0"/>
      </w:pPr>
    </w:lvl>
    <w:lvl w:ilvl="1" w:tentative="0">
      <w:start w:val="1"/>
      <w:numFmt w:val="bullet"/>
      <w:lvlText w:val=""/>
      <w:lvlJc w:val="left"/>
      <w:pPr>
        <w:ind w:left="0" w:firstLine="0"/>
      </w:pPr>
    </w:lvl>
    <w:lvl w:ilvl="2" w:tentative="0">
      <w:start w:val="1"/>
      <w:numFmt w:val="bullet"/>
      <w:lvlText w:val=""/>
      <w:lvlJc w:val="left"/>
      <w:pPr>
        <w:ind w:left="0" w:firstLine="0"/>
      </w:pPr>
    </w:lvl>
    <w:lvl w:ilvl="3" w:tentative="0">
      <w:start w:val="1"/>
      <w:numFmt w:val="bullet"/>
      <w:lvlText w:val=""/>
      <w:lvlJc w:val="left"/>
      <w:pPr>
        <w:ind w:left="0" w:firstLine="0"/>
      </w:pPr>
    </w:lvl>
    <w:lvl w:ilvl="4" w:tentative="0">
      <w:start w:val="1"/>
      <w:numFmt w:val="bullet"/>
      <w:lvlText w:val=""/>
      <w:lvlJc w:val="left"/>
      <w:pPr>
        <w:ind w:left="0" w:firstLine="0"/>
      </w:pPr>
    </w:lvl>
    <w:lvl w:ilvl="5" w:tentative="0">
      <w:start w:val="1"/>
      <w:numFmt w:val="bullet"/>
      <w:lvlText w:val=""/>
      <w:lvlJc w:val="left"/>
      <w:pPr>
        <w:ind w:left="0" w:firstLine="0"/>
      </w:pPr>
    </w:lvl>
    <w:lvl w:ilvl="6" w:tentative="0">
      <w:start w:val="1"/>
      <w:numFmt w:val="bullet"/>
      <w:lvlText w:val=""/>
      <w:lvlJc w:val="left"/>
      <w:pPr>
        <w:ind w:left="0" w:firstLine="0"/>
      </w:pPr>
    </w:lvl>
    <w:lvl w:ilvl="7" w:tentative="0">
      <w:start w:val="1"/>
      <w:numFmt w:val="bullet"/>
      <w:lvlText w:val=""/>
      <w:lvlJc w:val="left"/>
      <w:pPr>
        <w:ind w:left="0" w:firstLine="0"/>
      </w:pPr>
    </w:lvl>
    <w:lvl w:ilvl="8" w:tentative="0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7E"/>
    <w:rsid w:val="000C66CF"/>
    <w:rsid w:val="001B4373"/>
    <w:rsid w:val="001E2C6C"/>
    <w:rsid w:val="00305581"/>
    <w:rsid w:val="0032717E"/>
    <w:rsid w:val="004B7683"/>
    <w:rsid w:val="004D4E03"/>
    <w:rsid w:val="00526E3D"/>
    <w:rsid w:val="00593E90"/>
    <w:rsid w:val="009A5C19"/>
    <w:rsid w:val="009C287E"/>
    <w:rsid w:val="00CA181E"/>
    <w:rsid w:val="00EE198F"/>
    <w:rsid w:val="00F47194"/>
    <w:rsid w:val="00FC2A7E"/>
    <w:rsid w:val="4F53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sz w:val="24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uiPriority w:val="0"/>
    <w:rPr>
      <w:color w:val="0000FF"/>
      <w:u w:val="single"/>
    </w:rPr>
  </w:style>
  <w:style w:type="paragraph" w:styleId="11">
    <w:name w:val="Title"/>
    <w:basedOn w:val="1"/>
    <w:next w:val="1"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2">
    <w:name w:val="header"/>
    <w:basedOn w:val="1"/>
    <w:link w:val="20"/>
    <w:uiPriority w:val="0"/>
    <w:pPr>
      <w:tabs>
        <w:tab w:val="center" w:pos="4252"/>
        <w:tab w:val="right" w:pos="8504"/>
      </w:tabs>
    </w:pPr>
  </w:style>
  <w:style w:type="paragraph" w:styleId="13">
    <w:name w:val="footer"/>
    <w:basedOn w:val="1"/>
    <w:link w:val="21"/>
    <w:uiPriority w:val="99"/>
    <w:pPr>
      <w:tabs>
        <w:tab w:val="center" w:pos="4252"/>
        <w:tab w:val="right" w:pos="8504"/>
      </w:tabs>
    </w:pPr>
  </w:style>
  <w:style w:type="paragraph" w:styleId="14">
    <w:name w:val="Balloon Text"/>
    <w:basedOn w:val="1"/>
    <w:link w:val="19"/>
    <w:uiPriority w:val="0"/>
    <w:rPr>
      <w:rFonts w:ascii="Tahoma" w:hAnsi="Tahoma" w:cs="Tahoma"/>
      <w:sz w:val="16"/>
      <w:szCs w:val="16"/>
    </w:rPr>
  </w:style>
  <w:style w:type="paragraph" w:styleId="15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6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_Style 13"/>
    <w:basedOn w:val="9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18">
    <w:name w:val="Parágrafo da Lista1"/>
    <w:basedOn w:val="1"/>
    <w:qFormat/>
    <w:uiPriority w:val="34"/>
    <w:pPr>
      <w:ind w:left="720"/>
      <w:contextualSpacing/>
    </w:pPr>
  </w:style>
  <w:style w:type="character" w:customStyle="1" w:styleId="19">
    <w:name w:val="Texto de balão Char"/>
    <w:basedOn w:val="8"/>
    <w:link w:val="14"/>
    <w:uiPriority w:val="0"/>
    <w:rPr>
      <w:rFonts w:ascii="Tahoma" w:hAnsi="Tahoma" w:cs="Tahoma" w:eastAsiaTheme="minorEastAsia"/>
      <w:kern w:val="2"/>
      <w:sz w:val="16"/>
      <w:szCs w:val="16"/>
      <w:lang w:val="en-US" w:eastAsia="zh-CN"/>
    </w:rPr>
  </w:style>
  <w:style w:type="character" w:customStyle="1" w:styleId="20">
    <w:name w:val="Cabeçalho Char"/>
    <w:basedOn w:val="8"/>
    <w:link w:val="12"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/>
    </w:rPr>
  </w:style>
  <w:style w:type="character" w:customStyle="1" w:styleId="21">
    <w:name w:val="Rodapé Char"/>
    <w:basedOn w:val="8"/>
    <w:link w:val="13"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/>
    </w:rPr>
  </w:style>
  <w:style w:type="table" w:customStyle="1" w:styleId="22">
    <w:name w:val="_Style 21"/>
    <w:basedOn w:val="9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3">
    <w:name w:val="_Style 22"/>
    <w:basedOn w:val="9"/>
    <w:uiPriority w:val="0"/>
    <w:tblPr>
      <w:tblCellMar>
        <w:left w:w="10" w:type="dxa"/>
        <w:right w:w="10" w:type="dxa"/>
      </w:tblCellMar>
    </w:tblPr>
  </w:style>
  <w:style w:type="table" w:customStyle="1" w:styleId="24">
    <w:name w:val="_Style 23"/>
    <w:basedOn w:val="9"/>
    <w:uiPriority w:val="0"/>
    <w:tblPr>
      <w:tblCellMar>
        <w:left w:w="10" w:type="dxa"/>
        <w:right w:w="10" w:type="dxa"/>
      </w:tblCellMar>
    </w:tblPr>
  </w:style>
  <w:style w:type="table" w:customStyle="1" w:styleId="25">
    <w:name w:val="_Style 24"/>
    <w:basedOn w:val="9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6">
    <w:name w:val="_Style 25"/>
    <w:basedOn w:val="9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7">
    <w:name w:val="_Style 26"/>
    <w:basedOn w:val="9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_Style 27"/>
    <w:basedOn w:val="9"/>
    <w:uiPriority w:val="0"/>
    <w:tblPr>
      <w:tblCellMar>
        <w:left w:w="10" w:type="dxa"/>
        <w:right w:w="10" w:type="dxa"/>
      </w:tblCellMar>
    </w:tblPr>
  </w:style>
  <w:style w:type="table" w:customStyle="1" w:styleId="29">
    <w:name w:val="_Style 28"/>
    <w:basedOn w:val="9"/>
    <w:uiPriority w:val="0"/>
    <w:tblPr>
      <w:tblCellMar>
        <w:left w:w="10" w:type="dxa"/>
        <w:right w:w="10" w:type="dxa"/>
      </w:tblCellMar>
    </w:tblPr>
  </w:style>
  <w:style w:type="table" w:customStyle="1" w:styleId="30">
    <w:name w:val="_Style 29"/>
    <w:basedOn w:val="9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1">
    <w:name w:val="_Style 30"/>
    <w:basedOn w:val="9"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kiW9AacePPDZ8KhunCBDfcJqxw==">CgMxLjA4AHIhMThiM09NdnNlaGpIWmtqamNMWWJkc1dOQlBneXFEM3pF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University of Exeter</Company>
  <Pages>3</Pages>
  <Words>898</Words>
  <Characters>4855</Characters>
  <Lines>40</Lines>
  <Paragraphs>11</Paragraphs>
  <TotalTime>0</TotalTime>
  <ScaleCrop>false</ScaleCrop>
  <LinksUpToDate>false</LinksUpToDate>
  <CharactersWithSpaces>5742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2025-05-28T21:51:00Z</dcterms:created>
  <dc:creator>Avaliador</dc:creator>
  <cp:lastModifiedBy>DPE_PROPPIT</cp:lastModifiedBy>
  <dcterms:modified xsi:type="dcterms:W3CDTF">2025-06-02T15:35:21Z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1046-12.2.0.21179</vt:lpwstr>
  </property>
  <property fmtid="{D5CDD505-2E9C-101B-9397-08002B2CF9AE}" pid="3" name="ICV">
    <vt:lpwstr>2719936C8BD4426486B1FD86187E4428_12</vt:lpwstr>
  </property>
</Properties>
</file>