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SELEÇÃO DE (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  <w:t>BOLSISTA OU VOLUNTÁRIO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>
      <w:pPr>
        <w:jc w:val="center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presente edital tem como obj</w:t>
      </w:r>
      <w:bookmarkStart w:id="0" w:name="_GoBack"/>
      <w:bookmarkEnd w:id="0"/>
      <w:r>
        <w:rPr>
          <w:rFonts w:ascii="Times New Roman" w:hAnsi="Times New Roman" w:cs="Times New Roman"/>
        </w:rPr>
        <w:t>etivo a seleção de (</w:t>
      </w:r>
      <w:r>
        <w:rPr>
          <w:rFonts w:ascii="Times New Roman" w:hAnsi="Times New Roman" w:cs="Times New Roman"/>
          <w:color w:val="FF0000"/>
          <w:highlight w:val="yellow"/>
        </w:rPr>
        <w:t>bolsista ou voluntário</w:t>
      </w:r>
      <w:r>
        <w:rPr>
          <w:rFonts w:ascii="Times New Roman" w:hAnsi="Times New Roman" w:cs="Times New Roman"/>
          <w:color w:val="FF0000"/>
        </w:rPr>
        <w:t xml:space="preserve">) </w:t>
      </w:r>
      <w:r>
        <w:rPr>
          <w:rFonts w:ascii="Times New Roman" w:hAnsi="Times New Roman" w:cs="Times New Roman"/>
        </w:rPr>
        <w:t>para atendimento das normas do Edital __/202</w:t>
      </w:r>
      <w:r>
        <w:rPr>
          <w:rFonts w:hint="default"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</w:rPr>
        <w:t xml:space="preserve"> – PROPPIT para a execução do plano de trabalho “</w:t>
      </w:r>
      <w:r>
        <w:rPr>
          <w:rFonts w:ascii="Times New Roman" w:hAnsi="Times New Roman" w:cs="Times New Roman"/>
          <w:color w:val="FF0000"/>
          <w:highlight w:val="yellow"/>
        </w:rPr>
        <w:t>XXXXX</w:t>
      </w:r>
      <w:r>
        <w:rPr>
          <w:rFonts w:ascii="Times New Roman" w:hAnsi="Times New Roman" w:cs="Times New Roman"/>
        </w:rPr>
        <w:t xml:space="preserve">” no período </w:t>
      </w:r>
      <w:r>
        <w:rPr>
          <w:rFonts w:ascii="Times New Roman" w:hAnsi="Times New Roman" w:cs="Times New Roman"/>
          <w:highlight w:val="yellow"/>
        </w:rPr>
        <w:t>de 01/09/202</w:t>
      </w:r>
      <w:r>
        <w:rPr>
          <w:rFonts w:hint="default" w:ascii="Times New Roman" w:hAnsi="Times New Roman" w:cs="Times New Roman"/>
          <w:highlight w:val="yellow"/>
          <w:lang w:val="en-US"/>
        </w:rPr>
        <w:t>6</w:t>
      </w:r>
      <w:r>
        <w:rPr>
          <w:rFonts w:ascii="Times New Roman" w:hAnsi="Times New Roman" w:cs="Times New Roman"/>
          <w:highlight w:val="yellow"/>
        </w:rPr>
        <w:t xml:space="preserve"> a 31/08/202</w:t>
      </w:r>
      <w:r>
        <w:rPr>
          <w:rFonts w:hint="default" w:ascii="Times New Roman" w:hAnsi="Times New Roman" w:cs="Times New Roman"/>
          <w:highlight w:val="yellow"/>
          <w:lang w:val="en-US"/>
        </w:rPr>
        <w:t>7</w:t>
      </w:r>
      <w:r>
        <w:rPr>
          <w:rFonts w:ascii="Times New Roman" w:hAnsi="Times New Roman" w:cs="Times New Roman"/>
          <w:highlight w:val="yellow"/>
        </w:rPr>
        <w:t>.</w:t>
      </w:r>
    </w:p>
    <w:p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PÚBLICO ALVO</w:t>
      </w:r>
    </w:p>
    <w:p>
      <w:pPr>
        <w:pStyle w:val="12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Discentes de graduação da UFOPA </w:t>
      </w:r>
      <w:r>
        <w:rPr>
          <w:rFonts w:ascii="Times New Roman" w:hAnsi="Times New Roman" w:cs="Times New Roman"/>
          <w:color w:val="FF0000"/>
          <w:highlight w:val="yellow"/>
        </w:rPr>
        <w:t>do curso de XXXXX,</w:t>
      </w:r>
      <w:r>
        <w:rPr>
          <w:rFonts w:ascii="Times New Roman" w:hAnsi="Times New Roman" w:cs="Times New Roman"/>
        </w:rPr>
        <w:t xml:space="preserve"> regularmente matriculado.</w:t>
      </w:r>
    </w:p>
    <w:p>
      <w:pPr>
        <w:pStyle w:val="12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Colocar as habilidades requeridas conforme indicada no plano de trabalho do SIGAA.</w:t>
      </w:r>
    </w:p>
    <w:p>
      <w:pPr>
        <w:pStyle w:val="12"/>
        <w:numPr>
          <w:ilvl w:val="1"/>
          <w:numId w:val="1"/>
        </w:numPr>
        <w:jc w:val="both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hAnsi="Times New Roman" w:cs="Times New Roman"/>
          <w:color w:val="FF0000"/>
          <w:highlight w:val="yellow"/>
        </w:rPr>
        <w:t>Neste item o docente deve colocar a cota de bolsa de acordo com o resultado final e descrito no Edital conforme descrito abaixo:</w:t>
      </w:r>
    </w:p>
    <w:p>
      <w:pPr>
        <w:pStyle w:val="12"/>
        <w:numPr>
          <w:ilvl w:val="0"/>
          <w:numId w:val="2"/>
        </w:numPr>
        <w:spacing w:after="0" w:line="240" w:lineRule="auto"/>
        <w:ind w:left="2484"/>
        <w:jc w:val="both"/>
        <w:rPr>
          <w:rFonts w:ascii="Times New Roman" w:hAnsi="Times New Roman" w:eastAsia="Times New Roman" w:cs="Times New Roman"/>
          <w:i/>
          <w:i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pt-BR"/>
        </w:rPr>
        <w:t>Bolsas PIBIC AC e PIBITI AC (Ampla concorrência): </w:t>
      </w:r>
    </w:p>
    <w:p>
      <w:pPr>
        <w:pStyle w:val="12"/>
        <w:ind w:left="2127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13.2. As cotas ampla concorrência entende-se como de livre acesso aos discentes.</w:t>
      </w:r>
    </w:p>
    <w:p>
      <w:pPr>
        <w:pStyle w:val="12"/>
        <w:spacing w:after="0" w:line="240" w:lineRule="auto"/>
        <w:ind w:left="2127"/>
        <w:jc w:val="both"/>
        <w:rPr>
          <w:rFonts w:ascii="Times New Roman" w:hAnsi="Times New Roman" w:eastAsia="Times New Roman" w:cs="Times New Roman"/>
          <w:i/>
          <w:iCs/>
          <w:sz w:val="24"/>
          <w:szCs w:val="24"/>
          <w:lang w:eastAsia="pt-BR"/>
        </w:rPr>
      </w:pPr>
    </w:p>
    <w:p>
      <w:pPr>
        <w:pStyle w:val="12"/>
        <w:numPr>
          <w:ilvl w:val="0"/>
          <w:numId w:val="2"/>
        </w:numPr>
        <w:spacing w:after="0" w:line="240" w:lineRule="auto"/>
        <w:ind w:left="2484"/>
        <w:jc w:val="both"/>
        <w:rPr>
          <w:rFonts w:ascii="Times New Roman" w:hAnsi="Times New Roman" w:eastAsia="Times New Roman" w:cs="Times New Roman"/>
          <w:i/>
          <w:iCs/>
          <w:sz w:val="24"/>
          <w:szCs w:val="24"/>
          <w:lang w:eastAsia="pt-BR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eastAsia="pt-BR"/>
        </w:rPr>
        <w:t>Bolsas PIBIC AF (Ações Afirmativas): 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13.3. A utilização das bolsas Pibiti-AF do CNPq e da Ufopa seguirão os conceitos de Ações Afirmativas adotados pelo CNPq na Chamada Pública PIBIC nº 21/2022 do Programa Institucional de Bolsas de Iniciação Científica 2022/2024 e na Resolução nº 200/2017 que Institui a Política de Ações Afirmativas e Promoção da Igualdade Étnico-Racial da Ufopa: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a. Ingressaram na Ufopa pelo Processo Seletivo Regular (PSR) por Cotas;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b. Ingressaram na Ufopa pelos Processos Seletivos Especiais: Indígena (PSEI) ou Quilombola (PSEQ);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c. Ingressaram na Ufopa pelo Processo Seletivo Regular (PSR) por Ampla Concorrência, mas estudaram todo o Ensino Médio em escola pública;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d. Discentes de cursos de graduação da Ufopa que ingressaram na universidade em vaga para discentes com deficiência (PcD)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e. Ingressaram na Ufopa pelo Processo Seletivo Regular (PSR) por ampla concorrência, encontram-se em condição de vulnerabilidade socioeconômica atestada pela Proges, com Cadastro Único validado.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f. Ingressaram na Ufopa pelo Processo Seletivo Regular (PSR) por ampla concorrência, mas se autodeclaram Indígenas ou Quilombolas.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g. Ingressaram na Ufopa pelo Processo Seletivo Regular (PSR), mas se autodeclaram pretos e pardos.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13.4. Os discentes que cursaram todo o Ensino Médio em escola pública, mas não ingressaram na Ufopa por cotas e não possuem índice de vulnerabilidade socioeconômica aferida pela Proges deverão comprovar ser egressos de escola pública com apresentação do histórico escolar do ensino médio.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13.5. Os discentes que se autodeclaram indígenas ou quilombolas, mas não ingressaram na Ufopa pelo PSEI e PSEQ, deverão apresentar autodeclaração de etnia e declaração de pertencimento étnico, conforme ANEXOS V, VI, VII, VIII e IX.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13.6. Discentes que ingressaram em ampla concorrência, mas possuem algum tipo de deficiência devem apresentar Laudo Médico atestando a espécie e o grau da deficiência, nos termos do art. 4º do Decreto nº 3.298/1999 para concorrer a vaga destinada à Pessoa com Deficiência (PcD), contudo discentes que entraram por cotas para PcD estão dispensados do laudo médico, uma vez que esse já foi validado pela instituição.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13.7. Discentes que entraram por PSR, mas se autodeclaram pretos ou pardos devem apresentar a autodeclaração ANEXO IV.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13.8. Os discentes selecionados para as cotas de Ações Afirmativas que não estão de acordo com os pré-requisitos estabelecidos pelo edital estarão desclassificados, e o docente deve chamar o próximo candidato aprovado para a cota.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13.9. A informação incorreta por parte do discente que o beneficie para acesso à cota de bolsas ou voluntário deverá ser motivo para sua eliminação do certame.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13.10. Os discentes do Forma Pará só podem concorrer com as cotas da ampla concorrência fomentadas pela Fapespa.</w:t>
      </w:r>
    </w:p>
    <w:p>
      <w:pPr>
        <w:pStyle w:val="12"/>
        <w:ind w:left="1080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13.11. Discentes do Parfor podem concorrer com as cotas da ampla concorrência.</w:t>
      </w:r>
    </w:p>
    <w:p>
      <w:pPr>
        <w:pStyle w:val="12"/>
        <w:rPr>
          <w:rFonts w:ascii="Times New Roman" w:hAnsi="Times New Roman" w:eastAsia="Times New Roman" w:cs="Times New Roman"/>
          <w:i/>
          <w:iCs/>
          <w:sz w:val="24"/>
          <w:szCs w:val="24"/>
          <w:lang w:eastAsia="pt-BR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i/>
          <w:iCs/>
          <w:sz w:val="24"/>
          <w:szCs w:val="24"/>
          <w:lang w:eastAsia="pt-BR"/>
        </w:rPr>
      </w:pP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hAnsi="Times New Roman" w:cs="Times New Roman"/>
        </w:rPr>
        <w:t>Importante ressaltar que o trabalhos poderão ser (</w:t>
      </w:r>
      <w:r>
        <w:rPr>
          <w:rFonts w:ascii="Times New Roman" w:hAnsi="Times New Roman" w:cs="Times New Roman"/>
          <w:color w:val="FF0000"/>
          <w:highlight w:val="yellow"/>
        </w:rPr>
        <w:t>remotos, presencial ou hibrido).</w:t>
      </w:r>
    </w:p>
    <w:p>
      <w:pPr>
        <w:pStyle w:val="12"/>
        <w:ind w:left="1080"/>
        <w:rPr>
          <w:rFonts w:ascii="Times New Roman" w:hAnsi="Times New Roman" w:cs="Times New Roman"/>
        </w:rPr>
      </w:pPr>
    </w:p>
    <w:p>
      <w:pPr>
        <w:pStyle w:val="1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DAS FASES DO PROCESSO SELETIVO</w:t>
      </w:r>
    </w:p>
    <w:p>
      <w:pPr>
        <w:pStyle w:val="5"/>
        <w:numPr>
          <w:ilvl w:val="1"/>
          <w:numId w:val="1"/>
        </w:numPr>
        <w:spacing w:before="120" w:beforeAutospacing="0" w:after="120" w:afterAutospacing="0"/>
        <w:jc w:val="both"/>
        <w:rPr>
          <w:color w:val="000000"/>
        </w:rPr>
      </w:pPr>
      <w:r>
        <w:rPr>
          <w:b/>
          <w:bCs/>
          <w:i/>
          <w:iCs/>
          <w:color w:val="000000"/>
        </w:rPr>
        <w:t xml:space="preserve">1ª Fase (eliminatória): </w:t>
      </w:r>
      <w:r>
        <w:rPr>
          <w:i/>
          <w:iCs/>
          <w:color w:val="000000"/>
        </w:rPr>
        <w:t>homologação das inscrições</w:t>
      </w:r>
      <w:r>
        <w:rPr>
          <w:color w:val="000000"/>
        </w:rPr>
        <w:t>. Deve ser informado nos editais que as inscrições dos discentes deverão ocorrer no SIGAA – Portal Discente. A lista de inscrições homologadas deve ser publicada. </w:t>
      </w:r>
    </w:p>
    <w:p>
      <w:pPr>
        <w:pStyle w:val="5"/>
        <w:numPr>
          <w:ilvl w:val="1"/>
          <w:numId w:val="1"/>
        </w:numPr>
        <w:spacing w:before="120" w:beforeAutospacing="0" w:after="120" w:afterAutospacing="0"/>
        <w:jc w:val="both"/>
      </w:pPr>
      <w:r>
        <w:rPr>
          <w:b/>
          <w:bCs/>
          <w:i/>
          <w:iCs/>
          <w:color w:val="000000"/>
        </w:rPr>
        <w:t xml:space="preserve">2ª Fase (eliminatória e classificatória): </w:t>
      </w:r>
      <w:r>
        <w:rPr>
          <w:color w:val="000000"/>
        </w:rPr>
        <w:t>os discentes serão avaliados, respeitados os critérios descritos a seguir no item 3.</w:t>
      </w:r>
    </w:p>
    <w:p>
      <w:pPr>
        <w:pStyle w:val="5"/>
        <w:spacing w:before="120" w:beforeAutospacing="0" w:after="120" w:afterAutospacing="0"/>
        <w:ind w:left="1080"/>
        <w:jc w:val="both"/>
      </w:pPr>
    </w:p>
    <w:p>
      <w:pPr>
        <w:pStyle w:val="1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DA SELEÇÃO 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envio dos currículos (</w:t>
      </w:r>
      <w:r>
        <w:rPr>
          <w:rFonts w:ascii="Times New Roman" w:hAnsi="Times New Roman" w:cs="Times New Roman"/>
          <w:color w:val="FF0000"/>
          <w:highlight w:val="yellow"/>
        </w:rPr>
        <w:t>Lattes ou SIGAA</w:t>
      </w:r>
      <w:r>
        <w:rPr>
          <w:rFonts w:ascii="Times New Roman" w:hAnsi="Times New Roman" w:cs="Times New Roman"/>
        </w:rPr>
        <w:t xml:space="preserve">) deverá ser realizado no dia </w:t>
      </w:r>
      <w:r>
        <w:rPr>
          <w:rFonts w:ascii="Times New Roman" w:hAnsi="Times New Roman" w:cs="Times New Roman"/>
          <w:color w:val="FF0000"/>
          <w:highlight w:val="yellow"/>
        </w:rPr>
        <w:t>XXXXX</w:t>
      </w:r>
      <w:r>
        <w:rPr>
          <w:rFonts w:ascii="Times New Roman" w:hAnsi="Times New Roman" w:cs="Times New Roman"/>
        </w:rPr>
        <w:t xml:space="preserve"> para o email </w:t>
      </w:r>
      <w:r>
        <w:rPr>
          <w:rFonts w:ascii="Times New Roman" w:hAnsi="Times New Roman" w:cs="Times New Roman"/>
          <w:color w:val="FF0000"/>
          <w:highlight w:val="yellow"/>
        </w:rPr>
        <w:t>XXXX</w:t>
      </w:r>
      <w:r>
        <w:rPr>
          <w:rFonts w:ascii="Times New Roman" w:hAnsi="Times New Roman" w:cs="Times New Roman"/>
        </w:rPr>
        <w:t>.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entrevista que poderá ser gravada será realizada no(s) dia(s) </w:t>
      </w:r>
      <w:r>
        <w:rPr>
          <w:rFonts w:ascii="Times New Roman" w:hAnsi="Times New Roman" w:cs="Times New Roman"/>
          <w:color w:val="FF0000"/>
          <w:highlight w:val="yellow"/>
        </w:rPr>
        <w:t>XXXXX</w:t>
      </w:r>
      <w:r>
        <w:rPr>
          <w:rFonts w:ascii="Times New Roman" w:hAnsi="Times New Roman" w:cs="Times New Roman"/>
        </w:rPr>
        <w:t xml:space="preserve">e o </w:t>
      </w:r>
      <w:r>
        <w:rPr>
          <w:rFonts w:ascii="Times New Roman" w:hAnsi="Times New Roman" w:cs="Times New Roman"/>
          <w:highlight w:val="yellow"/>
        </w:rPr>
        <w:t>link e o horário da(s) entrevista(s) virtual(is) será(ão) enviado(s)</w:t>
      </w:r>
      <w:r>
        <w:rPr>
          <w:rFonts w:ascii="Times New Roman" w:hAnsi="Times New Roman" w:cs="Times New Roman"/>
        </w:rPr>
        <w:t xml:space="preserve"> pelo e-mail dos candidatos até a data</w:t>
      </w:r>
      <w:r>
        <w:rPr>
          <w:rFonts w:ascii="Times New Roman" w:hAnsi="Times New Roman" w:cs="Times New Roman"/>
          <w:color w:val="FF0000"/>
          <w:highlight w:val="yellow"/>
        </w:rPr>
        <w:t>XXXXX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Os critérios da entrevista estão elencados na tabela abaixo:</w:t>
      </w:r>
    </w:p>
    <w:tbl>
      <w:tblPr>
        <w:tblStyle w:val="9"/>
        <w:tblW w:w="0" w:type="auto"/>
        <w:tblInd w:w="10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4"/>
        <w:gridCol w:w="3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2" w:type="dxa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Descrição do critério</w:t>
            </w:r>
          </w:p>
        </w:tc>
        <w:tc>
          <w:tcPr>
            <w:tcW w:w="4322" w:type="dxa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Pontuação máxima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2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322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2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322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22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322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Serão avaliados critérios para a seleção dos (</w:t>
      </w:r>
      <w:r>
        <w:rPr>
          <w:rFonts w:ascii="Times New Roman" w:hAnsi="Times New Roman" w:cs="Times New Roman"/>
          <w:highlight w:val="yellow"/>
        </w:rPr>
        <w:t>bolsistas ou voluntários).</w:t>
      </w:r>
    </w:p>
    <w:tbl>
      <w:tblPr>
        <w:tblStyle w:val="9"/>
        <w:tblW w:w="0" w:type="auto"/>
        <w:tblInd w:w="10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1"/>
        <w:gridCol w:w="38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Critérios</w:t>
            </w:r>
          </w:p>
        </w:tc>
        <w:tc>
          <w:tcPr>
            <w:tcW w:w="4247" w:type="dxa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Pontuação máxima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Análise de Currículo</w:t>
            </w:r>
          </w:p>
        </w:tc>
        <w:tc>
          <w:tcPr>
            <w:tcW w:w="4247" w:type="dxa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  <w:highlight w:val="yellow"/>
              </w:rPr>
              <w:t>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Entrevista</w:t>
            </w:r>
          </w:p>
        </w:tc>
        <w:tc>
          <w:tcPr>
            <w:tcW w:w="4247" w:type="dxa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  <w:highlight w:val="yellow"/>
              </w:rPr>
              <w:t>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47" w:type="dxa"/>
          </w:tcPr>
          <w:p>
            <w:pPr>
              <w:pStyle w:val="12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  <w:highlight w:val="yellow"/>
              </w:rPr>
              <w:t>Pode ser acrescentado mais critérios ou não</w:t>
            </w:r>
          </w:p>
        </w:tc>
        <w:tc>
          <w:tcPr>
            <w:tcW w:w="4247" w:type="dxa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>
              <w:rPr>
                <w:rFonts w:ascii="Times New Roman" w:hAnsi="Times New Roman" w:cs="Times New Roman"/>
                <w:color w:val="FF0000"/>
                <w:highlight w:val="yellow"/>
              </w:rPr>
              <w:t>Se não for usar mais critérios excluir a linha</w:t>
            </w:r>
          </w:p>
        </w:tc>
      </w:tr>
    </w:tbl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nota final será feita pela média (</w:t>
      </w:r>
      <w:r>
        <w:rPr>
          <w:rFonts w:ascii="Times New Roman" w:hAnsi="Times New Roman" w:cs="Times New Roman"/>
          <w:color w:val="FF0000"/>
          <w:highlight w:val="yellow"/>
        </w:rPr>
        <w:t>aritmética ou ponderada, fica a critério do docente</w:t>
      </w:r>
      <w:r>
        <w:rPr>
          <w:rFonts w:ascii="Times New Roman" w:hAnsi="Times New Roman" w:cs="Times New Roman"/>
        </w:rPr>
        <w:t>), pela seguinte equação:</w:t>
      </w:r>
    </w:p>
    <w:p>
      <w:pPr>
        <w:pStyle w:val="12"/>
        <w:ind w:left="1080"/>
        <w:rPr>
          <w:rFonts w:ascii="Times New Roman" w:hAnsi="Times New Roman" w:cs="Times New Roman" w:eastAsiaTheme="minorEastAsia"/>
          <w:color w:val="FF0000"/>
        </w:rPr>
      </w:pPr>
      <m:oMathPara>
        <m:oMath>
          <m:r>
            <m:rPr/>
            <w:rPr>
              <w:rFonts w:ascii="Cambria Math" w:hAnsi="Cambria Math" w:cs="Times New Roman"/>
              <w:color w:val="FF0000"/>
              <w:highlight w:val="yellow"/>
            </w:rPr>
            <m:t xml:space="preserve">Média= </m:t>
          </m:r>
          <m:f>
            <m:fPr>
              <m:ctrlPr>
                <w:rPr>
                  <w:rFonts w:ascii="Cambria Math" w:hAnsi="Cambria Math" w:cs="Times New Roman"/>
                  <w:i/>
                  <w:color w:val="FF0000"/>
                  <w:highlight w:val="yellow"/>
                </w:rPr>
              </m:ctrlPr>
            </m:fPr>
            <m:num>
              <m:ctrlPr>
                <w:rPr>
                  <w:rFonts w:ascii="Cambria Math" w:hAnsi="Cambria Math" w:cs="Times New Roman"/>
                  <w:i/>
                  <w:color w:val="FF0000"/>
                  <w:highlight w:val="yellow"/>
                </w:rPr>
              </m:ctrlPr>
            </m:num>
            <m:den>
              <m:ctrlPr>
                <w:rPr>
                  <w:rFonts w:ascii="Cambria Math" w:hAnsi="Cambria Math" w:cs="Times New Roman"/>
                  <w:i/>
                  <w:color w:val="FF0000"/>
                  <w:highlight w:val="yellow"/>
                </w:rPr>
              </m:ctrlPr>
            </m:den>
          </m:f>
        </m:oMath>
      </m:oMathPara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 candidatos serão classificados em ordem descrente de média.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Havendo desistência do bolsista o próximo da fila de espera poderá assumir a vacância da cota.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Recursos devem ser enviados pelos discentes interessados, de acordo com o </w:t>
      </w:r>
      <w:r>
        <w:rPr>
          <w:rFonts w:ascii="Times New Roman" w:hAnsi="Times New Roman" w:cs="Times New Roman"/>
          <w:color w:val="FF0000"/>
          <w:highlight w:val="yellow"/>
        </w:rPr>
        <w:t>cronograma a seguir</w:t>
      </w:r>
      <w:r>
        <w:rPr>
          <w:rFonts w:ascii="Times New Roman" w:hAnsi="Times New Roman" w:cs="Times New Roman"/>
        </w:rPr>
        <w:t xml:space="preserve">, no modelo anexo a esta chamada, </w:t>
      </w:r>
      <w:r>
        <w:rPr>
          <w:rFonts w:ascii="Times New Roman" w:hAnsi="Times New Roman" w:cs="Times New Roman"/>
          <w:color w:val="FF0000"/>
          <w:highlight w:val="yellow"/>
        </w:rPr>
        <w:t>para o e-mail (XXXX)</w:t>
      </w:r>
      <w:r>
        <w:rPr>
          <w:rFonts w:ascii="Times New Roman" w:hAnsi="Times New Roman" w:cs="Times New Roman"/>
          <w:color w:val="FF0000"/>
        </w:rPr>
        <w:t>. As respostas aos recursos serão enviadas em resposta ao mesmo e-mail.</w:t>
      </w:r>
    </w:p>
    <w:p>
      <w:pPr>
        <w:pStyle w:val="12"/>
        <w:ind w:left="1080"/>
        <w:rPr>
          <w:rFonts w:ascii="Times New Roman" w:hAnsi="Times New Roman" w:cs="Times New Roman"/>
        </w:rPr>
      </w:pPr>
    </w:p>
    <w:p>
      <w:pPr>
        <w:pStyle w:val="1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 CRONOGRAMA</w:t>
      </w:r>
    </w:p>
    <w:tbl>
      <w:tblPr>
        <w:tblStyle w:val="15"/>
        <w:tblW w:w="0" w:type="auto"/>
        <w:tblInd w:w="645" w:type="dxa"/>
        <w:tblBorders>
          <w:top w:val="single" w:color="666666" w:themeColor="text1" w:themeTint="99" w:sz="4" w:space="0"/>
          <w:left w:val="single" w:color="666666" w:themeColor="text1" w:themeTint="99" w:sz="4" w:space="0"/>
          <w:bottom w:val="single" w:color="666666" w:themeColor="text1" w:themeTint="99" w:sz="4" w:space="0"/>
          <w:right w:val="single" w:color="666666" w:themeColor="text1" w:themeTint="99" w:sz="4" w:space="0"/>
          <w:insideH w:val="single" w:color="666666" w:themeColor="text1" w:themeTint="99" w:sz="4" w:space="0"/>
          <w:insideV w:val="single" w:color="666666" w:themeColor="text1" w:themeTint="99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7"/>
        <w:gridCol w:w="2410"/>
      </w:tblGrid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  <w:insideH w:val="single" w:sz="4" w:space="0"/>
              <w:insideV w:val="nil"/>
            </w:tcBorders>
            <w:shd w:val="clear" w:color="auto" w:fill="000000" w:themeFill="text1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FFFFFF" w:themeColor="background1"/>
              </w:rPr>
              <w:t>Atividade</w:t>
            </w:r>
          </w:p>
        </w:tc>
        <w:tc>
          <w:tcPr>
            <w:tcW w:w="2410" w:type="dxa"/>
            <w:tcBorders>
              <w:top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  <w:insideH w:val="single" w:sz="4" w:space="0"/>
              <w:insideV w:val="nil"/>
            </w:tcBorders>
            <w:shd w:val="clear" w:color="auto" w:fill="000000" w:themeFill="text1"/>
          </w:tcPr>
          <w:p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FFFFFF" w:themeColor="background1"/>
              </w:rPr>
              <w:t>Período</w:t>
            </w: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Período de inscrições dos discentes no SIGAA</w:t>
            </w:r>
          </w:p>
        </w:tc>
        <w:tc>
          <w:tcPr>
            <w:tcW w:w="24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  <w:shd w:val="clear" w:color="auto" w:fill="CCCCCC" w:themeFill="text1" w:themeFillTint="33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Divulgação da lista de inscrições homologadas pelos docentes aos inscritos (1°fase)</w:t>
            </w:r>
          </w:p>
        </w:tc>
        <w:tc>
          <w:tcPr>
            <w:tcW w:w="2410" w:type="dxa"/>
            <w:shd w:val="clear" w:color="auto" w:fill="CCCCCC" w:themeFill="text1" w:themeFillTint="33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Prazo para recursos à 1° fase</w:t>
            </w:r>
          </w:p>
        </w:tc>
        <w:tc>
          <w:tcPr>
            <w:tcW w:w="24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  <w:shd w:val="clear" w:color="auto" w:fill="CCCCCC" w:themeFill="text1" w:themeFillTint="33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yellow"/>
                <w:lang w:eastAsia="pt-BR"/>
              </w:rPr>
              <w:t>Divulgação do dia, horário e link da entrevista</w:t>
            </w:r>
          </w:p>
        </w:tc>
        <w:tc>
          <w:tcPr>
            <w:tcW w:w="2410" w:type="dxa"/>
            <w:shd w:val="clear" w:color="auto" w:fill="CCCCCC" w:themeFill="text1" w:themeFillTint="33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yellow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Período de seleção de discentes (2º fase) </w:t>
            </w:r>
          </w:p>
        </w:tc>
        <w:tc>
          <w:tcPr>
            <w:tcW w:w="24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  <w:shd w:val="clear" w:color="auto" w:fill="CCCCCC" w:themeFill="text1" w:themeFillTint="33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Divulgação do resultado preliminar aos discentes com inscrição homologada</w:t>
            </w:r>
          </w:p>
        </w:tc>
        <w:tc>
          <w:tcPr>
            <w:tcW w:w="2410" w:type="dxa"/>
            <w:shd w:val="clear" w:color="auto" w:fill="CCCCCC" w:themeFill="text1" w:themeFillTint="33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Interposição de recursos ao resultado preliminar </w:t>
            </w:r>
          </w:p>
        </w:tc>
        <w:tc>
          <w:tcPr>
            <w:tcW w:w="24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  <w:shd w:val="clear" w:color="auto" w:fill="CCCCCC" w:themeFill="text1" w:themeFillTint="33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Envio de respostas aos alunos, acerca dos recursos recebidos </w:t>
            </w:r>
          </w:p>
        </w:tc>
        <w:tc>
          <w:tcPr>
            <w:tcW w:w="2410" w:type="dxa"/>
            <w:shd w:val="clear" w:color="auto" w:fill="CCCCCC" w:themeFill="text1" w:themeFillTint="33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Envio e divulgação da Ata de seleção e Resultado final à Proppit</w:t>
            </w:r>
          </w:p>
        </w:tc>
        <w:tc>
          <w:tcPr>
            <w:tcW w:w="241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  <w:tr>
        <w:tblPrEx>
          <w:tblBorders>
            <w:top w:val="single" w:color="666666" w:themeColor="text1" w:themeTint="99" w:sz="4" w:space="0"/>
            <w:left w:val="single" w:color="666666" w:themeColor="text1" w:themeTint="99" w:sz="4" w:space="0"/>
            <w:bottom w:val="single" w:color="666666" w:themeColor="text1" w:themeTint="99" w:sz="4" w:space="0"/>
            <w:right w:val="single" w:color="666666" w:themeColor="text1" w:themeTint="99" w:sz="4" w:space="0"/>
            <w:insideH w:val="single" w:color="666666" w:themeColor="text1" w:themeTint="99" w:sz="4" w:space="0"/>
            <w:insideV w:val="single" w:color="666666" w:themeColor="text1" w:themeTint="99" w:sz="4" w:space="0"/>
          </w:tblBorders>
        </w:tblPrEx>
        <w:tc>
          <w:tcPr>
            <w:tcW w:w="5417" w:type="dxa"/>
            <w:shd w:val="clear" w:color="auto" w:fill="CCCCCC" w:themeFill="text1" w:themeFillTint="33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lang w:eastAsia="pt-BR"/>
              </w:rPr>
              <w:t>Indicação do discente no SIGAA, pelo orientador</w:t>
            </w:r>
          </w:p>
        </w:tc>
        <w:tc>
          <w:tcPr>
            <w:tcW w:w="2410" w:type="dxa"/>
            <w:shd w:val="clear" w:color="auto" w:fill="CCCCCC" w:themeFill="text1" w:themeFillTint="33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pt-BR"/>
              </w:rPr>
            </w:pPr>
          </w:p>
        </w:tc>
      </w:tr>
    </w:tbl>
    <w:p>
      <w:pPr>
        <w:pStyle w:val="12"/>
        <w:rPr>
          <w:rFonts w:ascii="Times New Roman" w:hAnsi="Times New Roman" w:cs="Times New Roman"/>
        </w:rPr>
      </w:pPr>
    </w:p>
    <w:p>
      <w:pPr>
        <w:pStyle w:val="1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DOS RECURSOS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 discentes que desejarem impetrar recurso de acordo com o cronograma para cada umas das fases deverá mandar um e-mail para: </w:t>
      </w:r>
      <w:r>
        <w:rPr>
          <w:rFonts w:ascii="Times New Roman" w:hAnsi="Times New Roman" w:cs="Times New Roman"/>
          <w:color w:val="FF0000"/>
          <w:highlight w:val="yellow"/>
        </w:rPr>
        <w:t>XXXX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no período descrito no cronograma de recurso para cada fase conforme item 4.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 recursos serão analisados quanto a sua procedência e caso seja aprovado o recurso, será emitido um novo resultado de acordo com a fase do edital.</w:t>
      </w:r>
    </w:p>
    <w:p>
      <w:pPr>
        <w:pStyle w:val="12"/>
        <w:ind w:left="1080"/>
        <w:rPr>
          <w:rFonts w:ascii="Times New Roman" w:hAnsi="Times New Roman" w:cs="Times New Roman"/>
        </w:rPr>
      </w:pPr>
    </w:p>
    <w:p>
      <w:pPr>
        <w:pStyle w:val="12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DISPOSIÇÕES FINAIS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 discentes candidato e contemplados com a (</w:t>
      </w:r>
      <w:r>
        <w:rPr>
          <w:rFonts w:ascii="Times New Roman" w:hAnsi="Times New Roman" w:cs="Times New Roman"/>
          <w:color w:val="FF0000"/>
          <w:highlight w:val="yellow"/>
        </w:rPr>
        <w:t>cota de bolsa ou voluntário</w:t>
      </w:r>
      <w:r>
        <w:rPr>
          <w:rFonts w:ascii="Times New Roman" w:hAnsi="Times New Roman" w:cs="Times New Roman"/>
        </w:rPr>
        <w:t>) deverá ter ciências dos termos do Edital __/202</w:t>
      </w:r>
      <w:r>
        <w:rPr>
          <w:rFonts w:hint="default" w:ascii="Times New Roman" w:hAnsi="Times New Roman" w:cs="Times New Roman"/>
          <w:lang w:val="en-US"/>
        </w:rPr>
        <w:t>6 -</w:t>
      </w:r>
      <w:r>
        <w:rPr>
          <w:rFonts w:ascii="Times New Roman" w:hAnsi="Times New Roman" w:cs="Times New Roman"/>
        </w:rPr>
        <w:t xml:space="preserve"> PROPPIT e dos seus aditivos disponíveis no site: </w:t>
      </w:r>
      <w:r>
        <w:rPr>
          <w:rFonts w:hint="default" w:ascii="Times New Roman" w:hAnsi="Times New Roman" w:cs="Times New Roman"/>
          <w:color w:val="0000FF"/>
        </w:rPr>
        <w:t>https://proppit.ufopa.edu.br/proppit/editais/editais-de-pesquisa/editais-2026/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 discentes que se candidatarem as cotas ou voluntários deverão ao se inscreveram no edital concordam com todos os termos estabelecidos.</w:t>
      </w:r>
    </w:p>
    <w:p>
      <w:pPr>
        <w:pStyle w:val="12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aluno só receberá a bolsa após a avaliação e homologação dos documentos enviados a PROPPIT.</w:t>
      </w:r>
    </w:p>
    <w:p>
      <w:pPr>
        <w:rPr>
          <w:rFonts w:ascii="Times New Roman" w:hAnsi="Times New Roman" w:cs="Times New Roman"/>
        </w:rPr>
      </w:pPr>
    </w:p>
    <w:p>
      <w:pPr>
        <w:jc w:val="righ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highlight w:val="yellow"/>
        </w:rPr>
        <w:t>Santarém (PA), XX xxxxx de 202</w:t>
      </w:r>
      <w:r>
        <w:rPr>
          <w:rFonts w:hint="default" w:ascii="Times New Roman" w:hAnsi="Times New Roman" w:cs="Times New Roman"/>
          <w:color w:val="FF0000"/>
          <w:highlight w:val="yellow"/>
          <w:lang w:val="en-US"/>
        </w:rPr>
        <w:t>6</w:t>
      </w:r>
      <w:r>
        <w:rPr>
          <w:rFonts w:ascii="Times New Roman" w:hAnsi="Times New Roman" w:cs="Times New Roman"/>
          <w:color w:val="FF0000"/>
          <w:highlight w:val="yellow"/>
        </w:rPr>
        <w:t>.</w:t>
      </w:r>
    </w:p>
    <w:p>
      <w:pPr>
        <w:jc w:val="right"/>
        <w:rPr>
          <w:rFonts w:ascii="Times New Roman" w:hAnsi="Times New Roman" w:cs="Times New Roman"/>
          <w:color w:val="FF0000"/>
        </w:rPr>
      </w:pPr>
    </w:p>
    <w:p>
      <w:pPr>
        <w:jc w:val="center"/>
        <w:rPr>
          <w:rFonts w:ascii="Times New Roman" w:hAnsi="Times New Roman" w:cs="Times New Roman"/>
          <w:color w:val="FF0000"/>
          <w:highlight w:val="yellow"/>
        </w:rPr>
      </w:pPr>
      <w:r>
        <w:rPr>
          <w:rFonts w:ascii="Times New Roman" w:hAnsi="Times New Roman" w:cs="Times New Roman"/>
          <w:color w:val="FF0000"/>
          <w:highlight w:val="yellow"/>
        </w:rPr>
        <w:t>Nome do docente</w:t>
      </w:r>
    </w:p>
    <w:p>
      <w:pPr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  <w:highlight w:val="yellow"/>
        </w:rPr>
        <w:t>Orientador</w:t>
      </w:r>
    </w:p>
    <w:p>
      <w:pPr>
        <w:ind w:right="20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</w:rPr>
        <w:t xml:space="preserve">ANEXO A </w:t>
      </w: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b/>
        </w:rPr>
        <w:t>Formulário de Recurso</w:t>
      </w:r>
      <w:r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  <w:color w:val="FF0000"/>
          <w:highlight w:val="yellow"/>
        </w:rPr>
        <w:t>(à fase de inscrição/ao resultado preliminar)</w:t>
      </w:r>
    </w:p>
    <w:p>
      <w:pPr>
        <w:ind w:right="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Enviar para (E-mail XXXX),conforme cronograma do Edital.</w:t>
      </w:r>
    </w:p>
    <w:tbl>
      <w:tblPr>
        <w:tblStyle w:val="3"/>
        <w:tblW w:w="90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707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979" w:type="dxa"/>
          </w:tcPr>
          <w:p>
            <w:p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Nome</w:t>
            </w:r>
          </w:p>
        </w:tc>
        <w:tc>
          <w:tcPr>
            <w:tcW w:w="7077" w:type="dxa"/>
          </w:tcPr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979" w:type="dxa"/>
          </w:tcPr>
          <w:p>
            <w:p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Unidade Acadêmica</w:t>
            </w:r>
          </w:p>
        </w:tc>
        <w:tc>
          <w:tcPr>
            <w:tcW w:w="7077" w:type="dxa"/>
          </w:tcPr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</w:trPr>
        <w:tc>
          <w:tcPr>
            <w:tcW w:w="1979" w:type="dxa"/>
            <w:vAlign w:val="center"/>
          </w:tcPr>
          <w:p>
            <w:pPr>
              <w:spacing w:after="0" w:line="240" w:lineRule="auto"/>
              <w:ind w:right="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Solicitação/ Justificativa</w:t>
            </w:r>
          </w:p>
        </w:tc>
        <w:tc>
          <w:tcPr>
            <w:tcW w:w="7077" w:type="dxa"/>
          </w:tcPr>
          <w:p>
            <w:pPr>
              <w:spacing w:after="0" w:line="240" w:lineRule="auto"/>
              <w:ind w:right="23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ind w:right="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Data</w:t>
      </w:r>
    </w:p>
    <w:p>
      <w:pPr>
        <w:ind w:right="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Assinatura</w:t>
      </w:r>
    </w:p>
    <w:p>
      <w:pPr>
        <w:jc w:val="center"/>
        <w:rPr>
          <w:rFonts w:ascii="Times New Roman" w:hAnsi="Times New Roman" w:cs="Times New Roman"/>
          <w:color w:val="FF0000"/>
        </w:rPr>
      </w:pPr>
    </w:p>
    <w:p>
      <w:pPr>
        <w:ind w:right="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ANEXO B </w:t>
      </w:r>
      <w:r>
        <w:rPr>
          <w:rFonts w:ascii="Times New Roman" w:hAnsi="Times New Roman" w:cs="Times New Roman"/>
        </w:rPr>
        <w:t xml:space="preserve">– Modelo </w:t>
      </w:r>
      <w:r>
        <w:rPr>
          <w:rFonts w:ascii="Times New Roman" w:hAnsi="Times New Roman" w:cs="Times New Roman"/>
          <w:b/>
        </w:rPr>
        <w:t>de resposta aos recursos interpostos</w:t>
      </w:r>
      <w:r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  <w:color w:val="FF0000"/>
          <w:highlight w:val="yellow"/>
        </w:rPr>
        <w:t>(à fase de inscrição/ao resultado preliminar)</w:t>
      </w:r>
    </w:p>
    <w:tbl>
      <w:tblPr>
        <w:tblStyle w:val="3"/>
        <w:tblW w:w="90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8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spacing w:after="0" w:line="240" w:lineRule="auto"/>
              <w:ind w:right="2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Parecer</w:t>
            </w:r>
          </w:p>
        </w:tc>
        <w:tc>
          <w:tcPr>
            <w:tcW w:w="7814" w:type="dxa"/>
          </w:tcPr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Aos ____dias do mês____________ de 20____, no __________(Local), reuniram-se os membros da (</w:t>
            </w:r>
            <w:r>
              <w:rPr>
                <w:rFonts w:ascii="Times New Roman" w:hAnsi="Times New Roman" w:cs="Times New Roman"/>
                <w:color w:val="FF0000"/>
                <w:highlight w:val="yellow"/>
              </w:rPr>
              <w:t>Equipe do Projeto</w:t>
            </w:r>
            <w:r>
              <w:rPr>
                <w:rFonts w:ascii="Times New Roman" w:hAnsi="Times New Roman" w:cs="Times New Roman"/>
              </w:rPr>
              <w:t xml:space="preserve"> / </w:t>
            </w:r>
            <w:r>
              <w:rPr>
                <w:rFonts w:ascii="Times New Roman" w:hAnsi="Times New Roman" w:cs="Times New Roman"/>
                <w:color w:val="FF0000"/>
                <w:highlight w:val="yellow"/>
              </w:rPr>
              <w:t>Grupo de Pesquisa</w:t>
            </w:r>
            <w:r>
              <w:rPr>
                <w:rFonts w:ascii="Times New Roman" w:hAnsi="Times New Roman" w:cs="Times New Roman"/>
              </w:rPr>
              <w:t xml:space="preserve">) ____________________para analisar os recursos interpostos </w:t>
            </w:r>
            <w:r>
              <w:rPr>
                <w:rFonts w:ascii="Times New Roman" w:hAnsi="Times New Roman" w:cs="Times New Roman"/>
                <w:color w:val="FF0000"/>
                <w:highlight w:val="yellow"/>
              </w:rPr>
              <w:t>(à fase de inscrição/ao resultado preliminar)</w:t>
            </w:r>
            <w:r>
              <w:rPr>
                <w:rFonts w:ascii="Times New Roman" w:hAnsi="Times New Roman" w:cs="Times New Roman"/>
                <w:color w:val="FF0000"/>
              </w:rPr>
              <w:t>.</w:t>
            </w:r>
          </w:p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>
            <w:pPr>
              <w:spacing w:after="0" w:line="240" w:lineRule="auto"/>
              <w:ind w:right="23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  <w:highlight w:val="yellow"/>
              </w:rPr>
              <w:t>O(a) discente (nome do discente) pediu / alegou ...xxxxx e após, verificação com base nos critérios X, Y e Z, ....xxxx, deliberou-se por xxxx</w:t>
            </w:r>
          </w:p>
          <w:p>
            <w:pPr>
              <w:spacing w:after="0" w:line="240" w:lineRule="auto"/>
              <w:ind w:right="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14" w:hRule="atLeast"/>
        </w:trPr>
        <w:tc>
          <w:tcPr>
            <w:tcW w:w="1242" w:type="dxa"/>
            <w:vAlign w:val="center"/>
          </w:tcPr>
          <w:p>
            <w:pPr>
              <w:spacing w:after="0" w:line="240" w:lineRule="auto"/>
              <w:ind w:right="2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4" w:type="dxa"/>
          </w:tcPr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 w:line="240" w:lineRule="auto"/>
              <w:ind w:righ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Resultado</w:t>
            </w:r>
          </w:p>
        </w:tc>
        <w:tc>
          <w:tcPr>
            <w:tcW w:w="7814" w:type="dxa"/>
          </w:tcPr>
          <w:p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</w:rPr>
              <w:t>Deferido / Indeferido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</w:tc>
      </w:tr>
    </w:tbl>
    <w:p>
      <w:pPr>
        <w:ind w:right="20"/>
        <w:jc w:val="center"/>
      </w:pPr>
    </w:p>
    <w:p>
      <w:pPr>
        <w:jc w:val="center"/>
        <w:rPr>
          <w:rFonts w:ascii="Times New Roman" w:hAnsi="Times New Roman" w:cs="Times New Roman"/>
          <w:color w:val="FF0000"/>
        </w:rPr>
      </w:pPr>
    </w:p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Droid Sans Fallback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ymbol">
    <w:altName w:val="EB Garamond 12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EB Garamond 12">
    <w:panose1 w:val="02020502060206020403"/>
    <w:charset w:val="00"/>
    <w:family w:val="auto"/>
    <w:pitch w:val="default"/>
    <w:sig w:usb0="E00002FF" w:usb1="5000E4FF" w:usb2="00000028" w:usb3="00000000" w:csb0="0000019F" w:csb1="00000000"/>
  </w:font>
  <w:font w:name="SimHei">
    <w:altName w:val="Droid Sans Fallback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Calibri">
    <w:altName w:val="Trebuchet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等线">
    <w:altName w:val="Comfortaa 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fortaa Light">
    <w:panose1 w:val="00000400000000000000"/>
    <w:charset w:val="00"/>
    <w:family w:val="auto"/>
    <w:pitch w:val="default"/>
    <w:sig w:usb0="20000287" w:usb1="00000002" w:usb2="00000000" w:usb3="00000000" w:csb0="2000019F" w:csb1="00000000"/>
  </w:font>
  <w:font w:name="Cambria Math">
    <w:altName w:val="DejaVu Math TeX Gyre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lang w:eastAsia="pt-BR"/>
      </w:rPr>
      <w:drawing>
        <wp:inline distT="0" distB="0" distL="0" distR="0">
          <wp:extent cx="556260" cy="584200"/>
          <wp:effectExtent l="0" t="0" r="0" b="6350"/>
          <wp:docPr id="2" name="Imagem 2" descr="Universidade Federal do Oeste do Pará - UFOPA - Brasil | Universidade  federal, Federal, 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Universidade Federal do Oeste do Pará - UFOPA - Brasil | Universidade  federal, Federal, Bras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629" cy="589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/>
      <w:spacing w:after="0" w:line="260" w:lineRule="auto"/>
      <w:jc w:val="center"/>
      <w:textAlignment w:val="auto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UNIVERSIDADE FEDERAL DO OESTE DO PARÁ</w:t>
    </w:r>
  </w:p>
  <w:p>
    <w:pPr>
      <w:keepNext w:val="0"/>
      <w:keepLines w:val="0"/>
      <w:pageBreakBefore w:val="0"/>
      <w:widowControl/>
      <w:kinsoku/>
      <w:wordWrap/>
      <w:overflowPunct/>
      <w:topLinePunct w:val="0"/>
      <w:autoSpaceDE/>
      <w:autoSpaceDN/>
      <w:bidi w:val="0"/>
      <w:adjustRightInd/>
      <w:snapToGrid/>
      <w:spacing w:after="0" w:line="260" w:lineRule="auto"/>
      <w:jc w:val="center"/>
      <w:textAlignment w:val="auto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  <w:highlight w:val="yellow"/>
      </w:rPr>
      <w:t>INSTITUTO/CAMPUS....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2C0854"/>
    <w:multiLevelType w:val="multilevel"/>
    <w:tmpl w:val="062C0854"/>
    <w:lvl w:ilvl="0" w:tentative="0">
      <w:start w:val="1"/>
      <w:numFmt w:val="lowerLetter"/>
      <w:lvlText w:val="%1)"/>
      <w:lvlJc w:val="left"/>
      <w:pPr>
        <w:ind w:left="1080" w:hanging="360"/>
      </w:pPr>
      <w:rPr>
        <w:rFonts w:hint="default"/>
        <w:i/>
        <w:color w:val="000000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1B5D49"/>
    <w:multiLevelType w:val="multilevel"/>
    <w:tmpl w:val="2F1B5D4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D66CC"/>
    <w:rsid w:val="00031717"/>
    <w:rsid w:val="000468A7"/>
    <w:rsid w:val="00121C5D"/>
    <w:rsid w:val="00253FD5"/>
    <w:rsid w:val="00303E1F"/>
    <w:rsid w:val="00365CD6"/>
    <w:rsid w:val="00462844"/>
    <w:rsid w:val="004D66CC"/>
    <w:rsid w:val="006D5012"/>
    <w:rsid w:val="007A6D5B"/>
    <w:rsid w:val="00893EBD"/>
    <w:rsid w:val="008A2EB4"/>
    <w:rsid w:val="00950613"/>
    <w:rsid w:val="009A5FE3"/>
    <w:rsid w:val="009C5E74"/>
    <w:rsid w:val="009E7788"/>
    <w:rsid w:val="00A97698"/>
    <w:rsid w:val="00AC5796"/>
    <w:rsid w:val="00B87ED9"/>
    <w:rsid w:val="00C03FA5"/>
    <w:rsid w:val="00C07840"/>
    <w:rsid w:val="00C60D94"/>
    <w:rsid w:val="00ED77C6"/>
    <w:rsid w:val="00EF0835"/>
    <w:rsid w:val="00FA75D8"/>
    <w:rsid w:val="6DDD667D"/>
    <w:rsid w:val="6E5552DD"/>
    <w:rsid w:val="7FFE7C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6">
    <w:name w:val="header"/>
    <w:basedOn w:val="1"/>
    <w:link w:val="10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footer"/>
    <w:basedOn w:val="1"/>
    <w:link w:val="11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9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Cabeçalho Char"/>
    <w:basedOn w:val="2"/>
    <w:link w:val="6"/>
    <w:uiPriority w:val="99"/>
  </w:style>
  <w:style w:type="character" w:customStyle="1" w:styleId="11">
    <w:name w:val="Rodapé Char"/>
    <w:basedOn w:val="2"/>
    <w:link w:val="7"/>
    <w:qFormat/>
    <w:uiPriority w:val="99"/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apple-tab-span"/>
    <w:basedOn w:val="2"/>
    <w:qFormat/>
    <w:uiPriority w:val="0"/>
  </w:style>
  <w:style w:type="character" w:styleId="14">
    <w:name w:val="Placeholder Text"/>
    <w:basedOn w:val="2"/>
    <w:semiHidden/>
    <w:uiPriority w:val="99"/>
    <w:rPr>
      <w:color w:val="808080"/>
    </w:rPr>
  </w:style>
  <w:style w:type="table" w:customStyle="1" w:styleId="15">
    <w:name w:val="Tabela de Grade 41"/>
    <w:basedOn w:val="3"/>
    <w:qFormat/>
    <w:uiPriority w:val="49"/>
    <w:tblPr>
      <w:tblBorders>
        <w:top w:val="single" w:color="666666" w:themeColor="text1" w:themeTint="99" w:sz="4" w:space="0"/>
        <w:left w:val="single" w:color="666666" w:themeColor="text1" w:themeTint="99" w:sz="4" w:space="0"/>
        <w:bottom w:val="single" w:color="666666" w:themeColor="text1" w:themeTint="99" w:sz="4" w:space="0"/>
        <w:right w:val="single" w:color="666666" w:themeColor="text1" w:themeTint="99" w:sz="4" w:space="0"/>
        <w:insideH w:val="single" w:color="666666" w:themeColor="text1" w:themeTint="99" w:sz="4" w:space="0"/>
        <w:insideV w:val="single" w:color="666666" w:themeColor="text1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cPr>
        <w:tcBorders>
          <w:top w:val="double" w:color="000000" w:themeColor="tex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character" w:customStyle="1" w:styleId="16">
    <w:name w:val="Menção Pendente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7">
    <w:name w:val="Texto de balão Char"/>
    <w:basedOn w:val="2"/>
    <w:link w:val="8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1179</Words>
  <Characters>6368</Characters>
  <Lines>53</Lines>
  <Paragraphs>15</Paragraphs>
  <TotalTime>449</TotalTime>
  <ScaleCrop>false</ScaleCrop>
  <LinksUpToDate>false</LinksUpToDate>
  <CharactersWithSpaces>7532</CharactersWithSpaces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2021-07-28T19:14:00Z</dcterms:created>
  <dc:creator>Bruno Braulino Batista</dc:creator>
  <cp:lastModifiedBy>anonimo</cp:lastModifiedBy>
  <dcterms:modified xsi:type="dcterms:W3CDTF">2026-08-21T16:08:53Z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1046-11.1.0.11720</vt:lpwstr>
  </property>
  <property fmtid="{D5CDD505-2E9C-101B-9397-08002B2CF9AE}" pid="3" name="ICV">
    <vt:lpwstr>3EB137118E364C99BDEFA742203D7CA7</vt:lpwstr>
  </property>
</Properties>
</file>